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32"/>
        </w:rPr>
        <w:t>Response to Reviewers</w:t>
      </w:r>
    </w:p>
    <w:p>
      <w:pPr>
        <w:spacing w:after="40"/>
      </w:pPr>
      <w:r>
        <w:rPr>
          <w:b/>
          <w:i w:val="0"/>
          <w:sz w:val="22"/>
        </w:rPr>
        <w:t>Manuscript reference: PMEA-107016</w:t>
      </w:r>
    </w:p>
    <w:p>
      <w:pPr>
        <w:spacing w:after="40"/>
      </w:pPr>
      <w:r>
        <w:rPr>
          <w:b w:val="0"/>
          <w:i w:val="0"/>
          <w:sz w:val="22"/>
        </w:rPr>
        <w:t>Title: Quadratic Template Scoring: A Parameter-Efficient Approach to Unsupervised ECG Anomaly Detection</w:t>
      </w:r>
    </w:p>
    <w:p>
      <w:pPr>
        <w:spacing w:after="240"/>
      </w:pPr>
      <w:r>
        <w:rPr>
          <w:b w:val="0"/>
          <w:i w:val="0"/>
          <w:sz w:val="22"/>
        </w:rPr>
        <w:t>Journal: Physiological Measurement</w:t>
      </w:r>
    </w:p>
    <w:p>
      <w:pPr>
        <w:spacing w:after="160"/>
      </w:pPr>
      <w:r>
        <w:rPr>
          <w:b w:val="0"/>
          <w:i w:val="0"/>
          <w:sz w:val="22"/>
        </w:rPr>
        <w:t>Dear Prof. Xiao Hu, Editor-in-Chief, Dr David Jones, and Esteemed Reviewers,</w:t>
      </w:r>
    </w:p>
    <w:p>
      <w:pPr>
        <w:spacing w:after="120"/>
      </w:pPr>
      <w:r>
        <w:rPr>
          <w:b w:val="0"/>
          <w:i w:val="0"/>
          <w:sz w:val="22"/>
        </w:rPr>
        <w:t>Thank you for your letter and for the opportunity to resubmit a revised version of our manuscript. We are sincerely grateful to the editors and to both referees for the careful, constructive and candid feedback. The comments have led us to a substantially stronger and more honest paper.</w:t>
      </w:r>
    </w:p>
    <w:p>
      <w:pPr>
        <w:spacing w:after="120"/>
      </w:pPr>
      <w:r>
        <w:rPr>
          <w:b w:val="0"/>
          <w:i w:val="0"/>
          <w:sz w:val="22"/>
        </w:rPr>
        <w:t>In preparing this revision we also completed an internal audit and a full re-execution of every experiment, which we report transparently below and in the revised manuscript (all changes are marked in blue). The key modifications are:</w:t>
      </w:r>
    </w:p>
    <w:p>
      <w:pPr>
        <w:spacing w:after="120"/>
        <w:ind w:left="360"/>
      </w:pPr>
      <w:r>
        <w:rPr>
          <w:b w:val="0"/>
          <w:i w:val="0"/>
          <w:sz w:val="22"/>
        </w:rPr>
        <w:t>•  Pre-registered seed protocol and full re-run. All experiments (main table, efficiency, sub-groups, scale ablation) were re-executed over ten pre-registered seeds (0-9) shared by all thirteen methods, with the seed determining both initialisation and the patient-level split. All tables and figures were regenerated; per-seed results and paired-difference confidence intervals are now shown as new figures, and the code, seed lists and reproducibility documentation are released with the manuscript in the public repository https://github.com/ZS520L/QTS-ECG (code base, configs, pre-registered seed lists, analysis scripts, per-seed result files, aggregated tables and figures, and docs/REPRODUCIBILITY.md with environment versions, data checksums and expected run times).</w:t>
      </w:r>
    </w:p>
    <w:p>
      <w:pPr>
        <w:spacing w:after="120"/>
        <w:ind w:left="360"/>
      </w:pPr>
      <w:r>
        <w:rPr>
          <w:b w:val="0"/>
          <w:i w:val="0"/>
          <w:sz w:val="22"/>
        </w:rPr>
        <w:t>•  Moderated and corrected claims. The revised manuscript no longer claims first place on both datasets: QTS ranks first on CPSC 2018 (significantly above all 12 baselines) and second on PTB-XL, significantly below Deep SVDD by 0.015 AUROC but significantly above the remaining 11 baselines. Novelty claims ("first work to ...") have been removed, training-time and parameter-count statements have been corrected to measured values, and the statistical analysis now uses two-sided paired Wilcoxon tests with Holm correction over ten seeds (the previous five-seed one-sided analysis, and its statement about the smallest attainable two-sided p-value, were incorrect and have been replaced).</w:t>
      </w:r>
    </w:p>
    <w:p>
      <w:pPr>
        <w:spacing w:after="120"/>
        <w:ind w:left="360"/>
      </w:pPr>
      <w:r>
        <w:rPr>
          <w:b w:val="0"/>
          <w:i w:val="0"/>
          <w:sz w:val="22"/>
        </w:rPr>
        <w:t>•  Reviewer-requested additions. The clinical motivation now cites recent clinical ECG-AI evidence, including Letz et al. (2023) as suggested by Referee 1, plus Hannun et al. (2019), Attia et al. (2019) and Ribeiro et al. (2020). A new subsection reviews recent ECG-specific anomaly-detection methods and benchmarks (Zhou et al. 2025; Garreta Basora et al. 2025; Ibrahim et al. 2025), the Pan-Tompkins algorithm is now correctly described as a filtering/thresholding QRS detector rather than a template-matching method, the theoretical propositions are explicitly relabelled as formalised intuition, Figure 1 and its caption present every paradigm (including QTS) with both a characteristic strength and a characteristic risk, and a new cross-dataset transfer experiment was added.</w:t>
      </w:r>
    </w:p>
    <w:p>
      <w:pPr>
        <w:spacing w:after="120"/>
        <w:ind w:left="360"/>
      </w:pPr>
      <w:r>
        <w:rPr>
          <w:b w:val="0"/>
          <w:i w:val="0"/>
          <w:sz w:val="22"/>
        </w:rPr>
        <w:t>•  Conciseness and journal style. Repeated passages across the Introduction, Related Work, Theory and Discussion were condensed (net reduction of roughly 900 words despite the added material), and all references and citations have been converted to the Harvard alphabetical style required by Physiological Measurement.</w:t>
      </w:r>
    </w:p>
    <w:p>
      <w:pPr>
        <w:spacing w:after="120"/>
      </w:pPr>
      <w:r>
        <w:rPr>
          <w:b w:val="0"/>
          <w:i w:val="0"/>
          <w:sz w:val="22"/>
        </w:rPr>
        <w:t>Below we provide a detailed, point-by-point response to each comment. Quotations from the revised manuscript are given in blue, matching the blue markup in the revised .tex/PDF. We hope the revised manuscript is now suitable for publication in Physiological Measurement.</w:t>
      </w:r>
    </w:p>
    <w:p>
      <w:pPr>
        <w:spacing w:after="40"/>
      </w:pPr>
      <w:r>
        <w:rPr>
          <w:b w:val="0"/>
          <w:i w:val="0"/>
          <w:sz w:val="22"/>
        </w:rPr>
        <w:t>Sincerely,</w:t>
      </w:r>
    </w:p>
    <w:p>
      <w:pPr>
        <w:spacing w:after="280"/>
      </w:pPr>
      <w:r>
        <w:rPr>
          <w:b w:val="0"/>
          <w:i w:val="0"/>
          <w:sz w:val="22"/>
        </w:rPr>
        <w:t>Jing Shen, Huashun Li (corresponding author) and Jian Gao</w:t>
      </w:r>
    </w:p>
    <w:p>
      <w:pPr>
        <w:spacing w:after="120"/>
      </w:pPr>
      <w:r>
        <w:rPr>
          <w:b/>
          <w:i w:val="0"/>
          <w:sz w:val="26"/>
        </w:rPr>
        <w:t>Response to Reviewer #1</w:t>
      </w:r>
    </w:p>
    <w:p>
      <w:pPr>
        <w:spacing w:after="160"/>
      </w:pPr>
      <w:r>
        <w:rPr>
          <w:b w:val="0"/>
          <w:i/>
          <w:sz w:val="22"/>
        </w:rPr>
        <w:t>Summary of the referee: the physiological-alignment hypothesis is the strongest novelty; the Introduction should cite recent clinical ECG-AI studies (in particular Letz et al. 2023); novelty claims should be moderated; the theoretical section should be relabelled as intuition; Figure 1 should be balanced; and the manuscript should be shortened.</w:t>
      </w:r>
    </w:p>
    <w:p>
      <w:pPr>
        <w:spacing w:after="40"/>
      </w:pPr>
      <w:r>
        <w:rPr>
          <w:b/>
          <w:i w:val="0"/>
          <w:sz w:val="22"/>
        </w:rPr>
        <w:t>Response:</w:t>
      </w:r>
    </w:p>
    <w:p>
      <w:pPr>
        <w:spacing w:after="200"/>
      </w:pPr>
      <w:r>
        <w:rPr>
          <w:b w:val="0"/>
          <w:i w:val="0"/>
          <w:sz w:val="22"/>
        </w:rPr>
        <w:t>We thank the reviewer for recognising the physiological-alignment hypothesis as the core scientific idea of the paper and for the precise, actionable suggestions. We agree with every point and have implemented all of them.</w:t>
      </w:r>
    </w:p>
    <w:p>
      <w:pPr>
        <w:spacing w:after="40"/>
      </w:pPr>
      <w:r>
        <w:rPr>
          <w:b/>
          <w:i w:val="0"/>
          <w:sz w:val="22"/>
        </w:rPr>
        <w:t>Comment 1.1 (clinical motivation; cite Letz et al. 2023 in the Introduction).</w:t>
      </w:r>
    </w:p>
    <w:p>
      <w:pPr>
        <w:spacing w:after="80"/>
      </w:pPr>
      <w:r>
        <w:rPr>
          <w:b w:val="0"/>
          <w:i w:val="0"/>
          <w:sz w:val="22"/>
        </w:rPr>
        <w:t>Response: We agree that the clinical rationale was underdeveloped. As suggested, we now cite Letz et al. (2023) in the Introduction, in the paragraph beginning "The ECG is fundamentally a quasi-periodic signal...", together with three further clinical ECG-AI studies, and we repeat the clinical evidence in the Clinical Implications subsection so that the morphology-based premise of QTS is anchored in published clinical outcomes.</w:t>
      </w:r>
    </w:p>
    <w:p>
      <w:pPr>
        <w:spacing w:after="40"/>
      </w:pPr>
      <w:r>
        <w:rPr>
          <w:b/>
          <w:i w:val="0"/>
          <w:sz w:val="22"/>
        </w:rPr>
        <w:t>Revision (revised manuscript, changes marked in blue):</w:t>
      </w:r>
    </w:p>
    <w:p>
      <w:pPr>
        <w:spacing w:after="200"/>
        <w:ind w:left="504"/>
      </w:pPr>
      <w:r>
        <w:rPr>
          <w:b w:val="0"/>
          <w:i w:val="0"/>
          <w:color w:val="0000CC"/>
          <w:sz w:val="22"/>
        </w:rPr>
        <w:t>“That diagnostically and prognostically relevant information is carried by ECG morphology is also supported by recent clinical ECG-AI studies: deep networks reach cardiologist-level arrhythmia detection from ambulatory ECGs (Hannun et al 2019), screen for ventricular contractile dysfunction from a single sinus-rhythm ECG (Attia et al 2019), automatically diagnose six rhythm and morphology classes across 12 leads (Ribeiro et al 2020), and detect left ventricular hypertrophy with prognostic value in haemodialysis patients (Letz et al 2023). These results motivate morphology-based prototype learning: if morphology carries the diagnostic signal, a model of normal morphology is a natural anomaly detector.”</w:t>
      </w:r>
    </w:p>
    <w:p>
      <w:pPr>
        <w:spacing w:after="40"/>
      </w:pPr>
      <w:r>
        <w:rPr>
          <w:b/>
          <w:i w:val="0"/>
          <w:sz w:val="22"/>
        </w:rPr>
        <w:t>Comment 1.2 (moderate the novelty claims).</w:t>
      </w:r>
    </w:p>
    <w:p>
      <w:pPr>
        <w:spacing w:after="80"/>
      </w:pPr>
      <w:r>
        <w:rPr>
          <w:b w:val="0"/>
          <w:i w:val="0"/>
          <w:sz w:val="22"/>
        </w:rPr>
        <w:t>Response: We accept this criticism fully. All "first work to ..." formulations have been removed. Contribution 1 now positions QTS explicitly within the long lineage of vector quantisation, dictionary learning and prototype methods, and claims only the specific instantiation (QT-aligned sliding-window vector quantisation on raw 12-lead ECG, two-convolution implementation) and its systematic, pre-registered evaluation. The Related Work subsection on sparse coding and dictionary learning was rewritten in the same spirit, and the abstract no longer claims first place on both benchmarks.</w:t>
      </w:r>
    </w:p>
    <w:p>
      <w:pPr>
        <w:spacing w:after="40"/>
      </w:pPr>
      <w:r>
        <w:rPr>
          <w:b/>
          <w:i w:val="0"/>
          <w:sz w:val="22"/>
        </w:rPr>
        <w:t>Revision (revised manuscript, changes marked in blue):</w:t>
      </w:r>
    </w:p>
    <w:p>
      <w:pPr>
        <w:spacing w:after="200"/>
        <w:ind w:left="504"/>
      </w:pPr>
      <w:r>
        <w:rPr>
          <w:b w:val="0"/>
          <w:i w:val="0"/>
          <w:color w:val="0000CC"/>
          <w:sz w:val="22"/>
        </w:rPr>
        <w:t>“Template matching, dictionary learning and vector quantisation are long-established tools (Linde et al 1980, Aharon et al 2006, Mairal et al 2010), including in their modern learned form (van den Oord et al 2017); our contribution is not the introduction of learnable templates per se, but a systematic instantiation and evaluation of sliding-window vector quantisation at a template length aligned with the QT interval, trained end-to-end on raw 12-lead ECG without beat segmentation and implemented as two standard 1D convolutions.”</w:t>
      </w:r>
    </w:p>
    <w:p>
      <w:pPr>
        <w:spacing w:after="40"/>
      </w:pPr>
      <w:r>
        <w:rPr>
          <w:b/>
          <w:i w:val="0"/>
          <w:sz w:val="22"/>
        </w:rPr>
        <w:t>Comment 1.3 (Propositions 1-4 rely on unverified assumptions; label as intuition).</w:t>
      </w:r>
    </w:p>
    <w:p>
      <w:pPr>
        <w:spacing w:after="80"/>
      </w:pPr>
      <w:r>
        <w:rPr>
          <w:b w:val="0"/>
          <w:i w:val="0"/>
          <w:sz w:val="22"/>
        </w:rPr>
        <w:t>Response: We agree. Section 3.2 now opens with an explicit statement of how the results should be read; the proposition statements carry the tag "intuition" (Proposition 3 "worst-case intuition", Proposition 4 "population-limit intuition"); a remark was added after Proposition 1 noting that the intrinsic dimension d is an untested working assumption; the subsection heading "Detection Separation Guarantee" was renamed "Detection Separation Intuition"; and the section summary states that the assumptions are falsifiable working hypotheses that future work can test (e.g. by estimating the intrinsic dimension of normal ECG window manifolds). The empirical case for QTS is explicitly delegated to the experiments.</w:t>
      </w:r>
    </w:p>
    <w:p>
      <w:pPr>
        <w:spacing w:after="40"/>
      </w:pPr>
      <w:r>
        <w:rPr>
          <w:b/>
          <w:i w:val="0"/>
          <w:sz w:val="22"/>
        </w:rPr>
        <w:t>Revision (revised manuscript, changes marked in blue):</w:t>
      </w:r>
    </w:p>
    <w:p>
      <w:pPr>
        <w:spacing w:after="200"/>
        <w:ind w:left="504"/>
      </w:pPr>
      <w:r>
        <w:rPr>
          <w:b w:val="0"/>
          <w:i w:val="0"/>
          <w:color w:val="0000CC"/>
          <w:sz w:val="22"/>
        </w:rPr>
        <w:t>“We state up front how these results should be read: the finite-prototype-coverage and intrinsic-dimensionality assumptions below are physiologically plausible but are not empirically verified in this work, and the comparison with reconstruction methods is a worst-case statement about unbounded decoder capacity. Propositions 1-4 are therefore intended as formalised intuition and theoretical motivation --- they make the inductive bias of QTS explicit and falsifiable --- rather than as substantive guarantees about trained models on finite data.”</w:t>
      </w:r>
    </w:p>
    <w:p>
      <w:pPr>
        <w:spacing w:after="40"/>
      </w:pPr>
      <w:r>
        <w:rPr>
          <w:b/>
          <w:i w:val="0"/>
          <w:sz w:val="22"/>
        </w:rPr>
        <w:t>Comment 1.4 (Figure 1 reads as advocacy; present competing methods more neutrally).</w:t>
      </w:r>
    </w:p>
    <w:p>
      <w:pPr>
        <w:spacing w:after="80"/>
      </w:pPr>
      <w:r>
        <w:rPr>
          <w:b w:val="0"/>
          <w:i w:val="0"/>
          <w:sz w:val="22"/>
        </w:rPr>
        <w:t>Response: We agree that the original figure and caption presented every competing paradigm only through a failure mode. The caption now lists, for each of the eight paradigms, its core mechanism, a characteristic strength and a characteristic risk --- including risks of QTS itself --- and a paragraph before the figure states that the failure modes are characteristic rather than universal, cites concrete strengths of the competing paradigms (including ones that remain competitive in our own experiments, e.g. VAE third on PTB-XL), and points the reader to the quantified limitations of QTS (Sections 5.4 and 6.3).</w:t>
      </w:r>
    </w:p>
    <w:p>
      <w:pPr>
        <w:spacing w:after="40"/>
      </w:pPr>
      <w:r>
        <w:rPr>
          <w:b/>
          <w:i w:val="0"/>
          <w:sz w:val="22"/>
        </w:rPr>
        <w:t>Revision (revised manuscript, changes marked in blue):</w:t>
      </w:r>
    </w:p>
    <w:p>
      <w:pPr>
        <w:spacing w:after="200"/>
        <w:ind w:left="504"/>
      </w:pPr>
      <w:r>
        <w:rPr>
          <w:b w:val="0"/>
          <w:i w:val="0"/>
          <w:color w:val="0000CC"/>
          <w:sz w:val="22"/>
        </w:rPr>
        <w:t>“(1) QTS (ours): M prototypes cover the normal manifold directly in input space --- strength: inspectable ECG-waveform codebook and per-window explanations; risk: subtle, distributed deviations below the sample-wise noise floor. (2) Deep SVDD: a single hypersphere centre c in a learned feature space --- strength: strong, compact one-class boundary (best PTB-XL AUROC here); risk: mode collapse and no input-space interpretability. [...] (8) Isolation Forest: tree-based partitioning --- strength: near-zero training cost; risk: axis-aligned splits ignore morphological structure. [Caption, followed in the text by:] We stress that the failure modes shown are characteristic, not universal: every paradigm in Figure 1 has demonstrated strengths in its original application domain [...]; QTS likewise has limitations, quantified in Sections 5.4-6.3; the figure should be read as a map of inductive biases and their characteristic risks, not as a ranking.”</w:t>
      </w:r>
    </w:p>
    <w:p>
      <w:pPr>
        <w:spacing w:after="40"/>
      </w:pPr>
      <w:r>
        <w:rPr>
          <w:b/>
          <w:i w:val="0"/>
          <w:sz w:val="22"/>
        </w:rPr>
        <w:t>Comment 1.5 (strengthen clinical motivation with further ECG-AI references: LVH, cardiac dysfunction, risk prediction).</w:t>
      </w:r>
    </w:p>
    <w:p>
      <w:pPr>
        <w:spacing w:after="80"/>
      </w:pPr>
      <w:r>
        <w:rPr>
          <w:b w:val="0"/>
          <w:i w:val="0"/>
          <w:sz w:val="22"/>
        </w:rPr>
        <w:t>Response: In addition to Letz et al. (2023) (LVH with prognostic value in haemodialysis patients), we now cite Attia et al. (2019) (AI-ECG screening for cardiac contractile dysfunction, Nature Medicine), Hannun et al. (2019) (cardiologist-level arrhythmia detection, Nature Medicine) and Ribeiro et al. (2020) (automatic 12-lead diagnosis, Nature Communications). These appear in the Introduction (Comment 1.1) and again in the Clinical Implications subsection, where they are tied to the triage use-case of QTS.</w:t>
      </w:r>
    </w:p>
    <w:p>
      <w:pPr>
        <w:spacing w:after="40"/>
      </w:pPr>
      <w:r>
        <w:rPr>
          <w:b/>
          <w:i w:val="0"/>
          <w:sz w:val="22"/>
        </w:rPr>
        <w:t>Revision (revised manuscript, changes marked in blue):</w:t>
      </w:r>
    </w:p>
    <w:p>
      <w:pPr>
        <w:spacing w:after="200"/>
        <w:ind w:left="504"/>
      </w:pPr>
      <w:r>
        <w:rPr>
          <w:b w:val="0"/>
          <w:i w:val="0"/>
          <w:color w:val="0000CC"/>
          <w:sz w:val="22"/>
        </w:rPr>
        <w:t>“The clinical ECG-AI literature supports the value of exactly this kind of morphology-level evidence: AI-ECG models whose predictions track morphological patterns have been shown to screen for ventricular contractile dysfunction (Attia et al 2019), detect left ventricular hypertrophy with prognostic value in haemodialysis patients (Letz et al 2023), and reach cardiologist-level arrhythmia classification (Hannun et al 2019, Ribeiro et al 2020). A triage tool that pairs a continuous anomaly score with inspectable template mismatches fits naturally into these screening pathways, reserving expert reading for the flagged fraction of recordings.”</w:t>
      </w:r>
    </w:p>
    <w:p>
      <w:pPr>
        <w:spacing w:after="40"/>
      </w:pPr>
      <w:r>
        <w:rPr>
          <w:b/>
          <w:i w:val="0"/>
          <w:sz w:val="22"/>
        </w:rPr>
        <w:t>Comment 1.6 (shorten the manuscript; the same messages are repeated across sections).</w:t>
      </w:r>
    </w:p>
    <w:p>
      <w:pPr>
        <w:spacing w:after="80"/>
      </w:pPr>
      <w:r>
        <w:rPr>
          <w:b w:val="0"/>
          <w:i w:val="0"/>
          <w:sz w:val="22"/>
        </w:rPr>
        <w:t>Response: We condensed the manuscript as follows (net reduction of about 900 words of body text despite the added subsection, transfer experiment and references): (i) the two Introduction paragraphs on the reconstruction failure mode and on interpretability were merged into a single short paragraph, since the formal statement lives in Section 3.2 and the empirical statement in Section 5; (ii) the second paragraph of Related Work 2.1, which repeated the Introduction argument, was replaced by a one-sentence cross-reference; (iii) the closing claim of the sparse-coding subsection was shortened; (iv) Discussion 6.1 Factors 1-2 no longer re-derive the propositions but refer to Section 3.2; (v) the sub-group and ablation discussions were tightened. An example of the condensed Introduction paragraph:</w:t>
      </w:r>
    </w:p>
    <w:p>
      <w:pPr>
        <w:spacing w:after="40"/>
      </w:pPr>
      <w:r>
        <w:rPr>
          <w:b/>
          <w:i w:val="0"/>
          <w:sz w:val="22"/>
        </w:rPr>
        <w:t>Revision (revised manuscript, changes marked in blue):</w:t>
      </w:r>
    </w:p>
    <w:p>
      <w:pPr>
        <w:spacing w:after="200"/>
        <w:ind w:left="504"/>
      </w:pPr>
      <w:r>
        <w:rPr>
          <w:b w:val="0"/>
          <w:i w:val="0"/>
          <w:color w:val="0000CC"/>
          <w:sz w:val="22"/>
        </w:rPr>
        <w:t>“Why not reconstruction or abstract features? Autoencoders and their variants score anomalies by reconstruction error, an objective that optimises signal fidelity rather than normality: a sufficiently expressive decoder can reconstruct unseen anomalies almost as well as normal beats (formalised as a worst-case intuition in Section 3.2). Representation-based methods such as Deep SVDD avoid reconstruction but place the decision boundary in an abstract feature space, so a flagged recording cannot be traced back to the morphological feature that caused the flag --- a practical obstacle in clinical deployment, where understanding the reason for a flag is as important as the flag itself.”</w:t>
      </w:r>
    </w:p>
    <w:p>
      <w:pPr>
        <w:spacing w:after="120"/>
      </w:pPr>
      <w:r>
        <w:rPr>
          <w:b/>
          <w:i w:val="0"/>
          <w:sz w:val="26"/>
        </w:rPr>
        <w:t>Response to Reviewer #2</w:t>
      </w:r>
    </w:p>
    <w:p>
      <w:pPr>
        <w:spacing w:after="160"/>
      </w:pPr>
      <w:r>
        <w:rPr>
          <w:b w:val="0"/>
          <w:i/>
          <w:sz w:val="22"/>
        </w:rPr>
        <w:t>Summary of the referee (editorial board preliminary report): the topic is relevant and clinically useful, but the manuscript lacks recent ECG-domain references, misdescribes the Pan-Tompkins algorithm as template matching, gives clinical justification secondary place to the mathematics, and does not compare with recent ECG-specific methods on the same datasets.</w:t>
      </w:r>
    </w:p>
    <w:p>
      <w:pPr>
        <w:spacing w:after="40"/>
      </w:pPr>
      <w:r>
        <w:rPr>
          <w:b/>
          <w:i w:val="0"/>
          <w:sz w:val="22"/>
        </w:rPr>
        <w:t>Response:</w:t>
      </w:r>
    </w:p>
    <w:p>
      <w:pPr>
        <w:spacing w:after="200"/>
      </w:pPr>
      <w:r>
        <w:rPr>
          <w:b w:val="0"/>
          <w:i w:val="0"/>
          <w:sz w:val="22"/>
        </w:rPr>
        <w:t>We thank the referee for the concise and accurate diagnosis. All four points have been addressed; we also took this revision as an occasion to re-run every experiment under a pre-registered ten-seed protocol and to release the code, so that the ECG-domain comparison requested by the referee can be checked and extended by others.</w:t>
      </w:r>
    </w:p>
    <w:p>
      <w:pPr>
        <w:spacing w:after="40"/>
      </w:pPr>
      <w:r>
        <w:rPr>
          <w:b/>
          <w:i w:val="0"/>
          <w:sz w:val="22"/>
        </w:rPr>
        <w:t>Comment 2.1 (no recent ECG-domain references; Pan-Tompkins incorrectly described as template matching).</w:t>
      </w:r>
    </w:p>
    <w:p>
      <w:pPr>
        <w:spacing w:after="80"/>
      </w:pPr>
      <w:r>
        <w:rPr>
          <w:b w:val="0"/>
          <w:i w:val="0"/>
          <w:sz w:val="22"/>
        </w:rPr>
        <w:t>Response: Both points are correct. (a) The Pan-Tompkins algorithm is a QRS detector based on band-pass filtering, differentiation, squaring and adaptive thresholding --- not a template-matching method; the revised manuscript now says so explicitly and cites the Kohler et al. (2002) review for the template-matching lineage instead. (b) We added recent ECG-specific work throughout: a new subsection "Recent ECG-Specific Anomaly Detection and Benchmarks" (Section 2.6) discusses MMAE-ECG (Zhou et al. 2025, PTB-XL), the attention-augmented VAE-BiLSTM study of Garreta Basora et al. (2025, CPSC 2018) and the neural-architecture-search benchmark of Ibrahim et al. (2025, PTB-XL); the reconstruction and representation subsections cite the same works where relevant; and clinical ECG-AI references were added per Comment 1.1/1.5.</w:t>
      </w:r>
    </w:p>
    <w:p>
      <w:pPr>
        <w:spacing w:after="40"/>
      </w:pPr>
      <w:r>
        <w:rPr>
          <w:b/>
          <w:i w:val="0"/>
          <w:sz w:val="22"/>
        </w:rPr>
        <w:t>Revision (revised manuscript, changes marked in blue):</w:t>
      </w:r>
    </w:p>
    <w:p>
      <w:pPr>
        <w:spacing w:after="200"/>
        <w:ind w:left="504"/>
      </w:pPr>
      <w:r>
        <w:rPr>
          <w:b w:val="0"/>
          <w:i w:val="0"/>
          <w:color w:val="0000CC"/>
          <w:sz w:val="22"/>
        </w:rPr>
        <w:t>“Classical template matching has a long history in ECG processing, primarily for beat classification and morphology clustering (Kohler et al 2002); by contrast, widely used QRS detectors such as the Pan-Tompkins algorithm operate by band-pass filtering and adaptive thresholding rather than by template comparison (Pan and Tompkins 1985).”</w:t>
      </w:r>
    </w:p>
    <w:p>
      <w:pPr>
        <w:spacing w:after="40"/>
      </w:pPr>
      <w:r>
        <w:rPr>
          <w:b/>
          <w:i w:val="0"/>
          <w:sz w:val="22"/>
        </w:rPr>
        <w:t>Revision (revised manuscript, changes marked in blue):</w:t>
      </w:r>
    </w:p>
    <w:p>
      <w:pPr>
        <w:spacing w:after="200"/>
        <w:ind w:left="504"/>
      </w:pPr>
      <w:r>
        <w:rPr>
          <w:b w:val="0"/>
          <w:i w:val="0"/>
          <w:color w:val="0000CC"/>
          <w:sz w:val="22"/>
        </w:rPr>
        <w:t>“Unsupervised and self-supervised anomaly detection tailored to ECG has expanded rapidly. On PTB-XL, MMAE-ECG (Zhou Y et al 2025) combines multi-scale masking with a lightweight transformer encoder and reports 0.860 detection AUROC and 0.749 localisation AUROC at 0.398 M parameters, removing the heartbeat-segmentation pre-processing of earlier detectors. On CPSC 2018, Garreta Basora et al (2025) benchmark convolutional and recurrent variational autoencoders under a unified pipeline (0.77-0.80 AUROC, 0.80-0.81 AUPRC) and summarise earlier CPSC-2018 comparisons in which a plain VAE reached 0.83 AUROC and a plain AE 0.76. On the method-family level, Ibrahim et al (2025) searched six unsupervised families (Deep SVDD, AE/VAE, masked modelling, normalising flows, diffusion) on PTB-XL under microcontroller constraints and identified Deep SVDD as the Pareto-optimal filter.”</w:t>
      </w:r>
    </w:p>
    <w:p>
      <w:pPr>
        <w:spacing w:after="40"/>
      </w:pPr>
      <w:r>
        <w:rPr>
          <w:b/>
          <w:i w:val="0"/>
          <w:sz w:val="22"/>
        </w:rPr>
        <w:t>Comment 2.2 (clinical justification secondary to the mathematical framework).</w:t>
      </w:r>
    </w:p>
    <w:p>
      <w:pPr>
        <w:spacing w:after="80"/>
      </w:pPr>
      <w:r>
        <w:rPr>
          <w:b w:val="0"/>
          <w:i w:val="0"/>
          <w:sz w:val="22"/>
        </w:rPr>
        <w:t>Response: We rebalanced the paper in three ways. First, the clinical evidence paragraph in the Introduction (Comment 1.1) now precedes and motivates the methodological development. Second, the mathematical Section 3.2 is explicitly framed as formalised intuition serving the physiological hypothesis, not as the contribution itself (Comment 1.3), and the Discussion factors refer to it rather than restating it. Third, the Clinical Implications subsection now connects the template-level explanations to published screening pathways (Comment 1.5), and the sub-group analysis is written in clinical terms (which pathologies QTS can and cannot be trusted for).</w:t>
      </w:r>
    </w:p>
    <w:p>
      <w:pPr>
        <w:spacing w:after="40"/>
      </w:pPr>
      <w:r>
        <w:rPr>
          <w:b/>
          <w:i w:val="0"/>
          <w:sz w:val="22"/>
        </w:rPr>
        <w:t>Revision (revised manuscript, changes marked in blue):</w:t>
      </w:r>
    </w:p>
    <w:p>
      <w:pPr>
        <w:spacing w:after="200"/>
        <w:ind w:left="504"/>
      </w:pPr>
      <w:r>
        <w:rPr>
          <w:b w:val="0"/>
          <w:i w:val="0"/>
          <w:color w:val="0000CC"/>
          <w:sz w:val="22"/>
        </w:rPr>
        <w:t>“That diagnostically and prognostically relevant information is carried by ECG morphology is also supported by recent clinical ECG-AI studies [...] These results motivate morphology-based prototype learning: if morphology carries the diagnostic signal, a model of normal morphology is a natural anomaly detector. [Introduction] ... Propositions 1-4 are therefore intended as formalised intuition and theoretical motivation [...] The empirical case for QTS rests on Sections 5-6. [Section 3.2]”</w:t>
      </w:r>
    </w:p>
    <w:p>
      <w:pPr>
        <w:spacing w:after="40"/>
      </w:pPr>
      <w:r>
        <w:rPr>
          <w:b/>
          <w:i w:val="0"/>
          <w:sz w:val="22"/>
        </w:rPr>
        <w:t>Comment 2.3 (compare with recent ECG-focused methods on the same datasets).</w:t>
      </w:r>
    </w:p>
    <w:p>
      <w:pPr>
        <w:spacing w:after="80"/>
      </w:pPr>
      <w:r>
        <w:rPr>
          <w:b w:val="0"/>
          <w:i w:val="0"/>
          <w:sz w:val="22"/>
        </w:rPr>
        <w:t>Response: We added the requested comparison in three layers. (i) Section 2.6 reports the published numbers of recent ECG-specific methods on PTB-XL and CPSC 2018 and states explicitly why they are not directly comparable to our table (different splits, beat- vs recording-level scoring, partly supervised localisation labels), while noting that they bracket our results (QTS 0.862 on PTB-XL vs 0.860 for MMAE-ECG under its protocol; QTS 0.840 on CPSC 2018 vs 0.77-0.83 for recent autoencoder variants) and independently corroborate two of our findings (strength of Deep SVDD on PTB-XL; competitiveness of lightweight reconstruction-free scoring). (ii) A new cross-dataset transfer experiment (Section 5.5, Table 5) compares QTS, Deep SVDD and VAE when trained on one dataset and tested on the other under identical seeds and splits: QTS trained on CPSC 2018 reaches 0.884 AUROC on PTB-XL, above both its in-domain PTB-XL result (0.862) and transferred Deep SVDD (0.879). (iii) Because published protocols differ, we also release code, fixed seeds and per-seed results so that any recent method can be re-run under exactly our protocol; the revised main table itself now rests on ten pre-registered seeds shared by all thirteen methods.</w:t>
      </w:r>
    </w:p>
    <w:p>
      <w:pPr>
        <w:spacing w:after="40"/>
      </w:pPr>
      <w:r>
        <w:rPr>
          <w:b/>
          <w:i w:val="0"/>
          <w:sz w:val="22"/>
        </w:rPr>
        <w:t>Revision (revised manuscript, changes marked in blue):</w:t>
      </w:r>
    </w:p>
    <w:p>
      <w:pPr>
        <w:spacing w:after="200"/>
        <w:ind w:left="504"/>
      </w:pPr>
      <w:r>
        <w:rPr>
          <w:b w:val="0"/>
          <w:i w:val="0"/>
          <w:color w:val="0000CC"/>
          <w:sz w:val="22"/>
        </w:rPr>
        <w:t>“These studies differ from our protocol in split construction, scoring unit (beat- vs. recording-level) and, in part, label usage, so their numbers are not directly comparable to Table 2; they do, however, bracket our results (QTS: 0.862 on PTB-XL, 0.840 on CPSC 2018) and independently corroborate two of our empirical findings: the strength of Deep SVDD on PTB-XL and the competitiveness of lightweight, reconstruction-free scoring on ECG. [Section 2.6] ... QTS templates trained on CPSC 2018 transfer to PTB-XL without loss --- indeed exceeding QTS trained in-domain on PTB-XL (0.884 vs. 0.862) and Deep SVDD transferred in the same direction (0.879) --- while transfer in the PTB-XL to CPSC direction costs about 0.04 AUROC for both QTS and Deep SVDD. [Section 5.5]”</w:t>
      </w:r>
    </w:p>
    <w:p>
      <w:pPr>
        <w:spacing w:after="120"/>
      </w:pPr>
      <w:r>
        <w:rPr>
          <w:b/>
          <w:i w:val="0"/>
          <w:sz w:val="26"/>
        </w:rPr>
        <w:t>Additional corrections made voluntarily during the revision</w:t>
      </w:r>
    </w:p>
    <w:p>
      <w:pPr>
        <w:spacing w:after="120"/>
      </w:pPr>
      <w:r>
        <w:rPr>
          <w:b w:val="0"/>
          <w:i w:val="0"/>
          <w:sz w:val="22"/>
        </w:rPr>
        <w:t>During the revision we audited the original experimental pipeline and re-ran all experiments. The following corrections are included in the revised manuscript (blue) although they were not requested by the reviewers; we list them here for full transparency:</w:t>
      </w:r>
    </w:p>
    <w:p>
      <w:pPr>
        <w:spacing w:after="120"/>
        <w:ind w:left="360"/>
      </w:pPr>
      <w:r>
        <w:rPr>
          <w:b w:val="0"/>
          <w:i w:val="0"/>
          <w:sz w:val="22"/>
        </w:rPr>
        <w:t>•  Seed protocol. The original five-seed protocol was replaced by ten pre-registered seeds (0-9) fixed before evaluation and shared by all methods; the seed determines both initialisation and the patient-level split. All reported means, standard deviations, tables and figures were regenerated (Tables 2-5, Figures 3-8).</w:t>
      </w:r>
    </w:p>
    <w:p>
      <w:pPr>
        <w:spacing w:after="120"/>
        <w:ind w:left="360"/>
      </w:pPr>
      <w:r>
        <w:rPr>
          <w:b w:val="0"/>
          <w:i w:val="0"/>
          <w:sz w:val="22"/>
        </w:rPr>
        <w:t>•  Ranking and significance claims. The revised manuscript states that QTS ranks first on CPSC 2018 and second on PTB-XL (significantly below Deep SVDD, paired difference -0.0146 AUROC, 95% CI [-0.0210, -0.0082], 0/10 seed wins), and significantly above the remaining 11 baselines on both datasets. Statistical tests are now two-sided paired Wilcoxon signed-rank tests with Holm correction over ten seeds, reported with 95% confidence intervals; new per-seed and paired-difference figures make every comparison inspectable. The previous statement that p = 0.031 was "the smallest attainable two-sided p-value with n = 5" was wrong (0.031 = 1/32 is the one-sided minimum; the two-sided minimum at n = 5 is 0.0625) and has been removed.</w:t>
      </w:r>
    </w:p>
    <w:p>
      <w:pPr>
        <w:spacing w:after="120"/>
        <w:ind w:left="360"/>
      </w:pPr>
      <w:r>
        <w:rPr>
          <w:b w:val="0"/>
          <w:i w:val="0"/>
          <w:sz w:val="22"/>
        </w:rPr>
        <w:t>•  Measured parameter counts and runtimes. Baseline parameter counts are now measured from the released implementations (e.g. VAE 31.46M, TranAD 4.53M, Anomaly Transformer 4.61M, Deep SVDD 92K), and training times are measured means per seed (QTS about 171 s on PTB-XL and 17 s on CPSC 2018 on a single consumer GPU), replacing the earlier "under one minute / 8-20x faster" statements.</w:t>
      </w:r>
    </w:p>
    <w:p>
      <w:pPr>
        <w:spacing w:after="120"/>
        <w:ind w:left="360"/>
      </w:pPr>
      <w:r>
        <w:rPr>
          <w:b w:val="0"/>
          <w:i w:val="0"/>
          <w:sz w:val="22"/>
        </w:rPr>
        <w:t>•  Dataset and preprocessing descriptions. The CPSC 2018 abnormal-to-normal ratio is now given as about 6.5:1 in the full corpus (about 6.7:1 in the test split), replacing an incorrect 43:1 statement; normalisation is described correctly as per-lead Z-scoring; a caveat was added that threshold-optimised F1 approaches the trivial all-abnormal classifier under this imbalance.</w:t>
      </w:r>
    </w:p>
    <w:p>
      <w:pPr>
        <w:spacing w:after="120"/>
        <w:ind w:left="360"/>
      </w:pPr>
      <w:r>
        <w:rPr>
          <w:b w:val="0"/>
          <w:i w:val="0"/>
          <w:sz w:val="22"/>
        </w:rPr>
        <w:t>•  Ablation protocol. The scale ablation is now run under the identical protocol and seeds as the main experiment (the original ablation used a different learning-rate/epoch budget), and all configuration differences against K = 155 are reported with paired tests; the claim that a single scale beats all multi-scale variants is replaced by the measured, dataset-dependent statement.</w:t>
      </w:r>
    </w:p>
    <w:p>
      <w:pPr>
        <w:spacing w:after="120"/>
      </w:pPr>
      <w:r>
        <w:rPr>
          <w:b w:val="0"/>
          <w:i w:val="0"/>
          <w:sz w:val="22"/>
        </w:rPr>
      </w:r>
    </w:p>
    <w:p>
      <w:pPr>
        <w:spacing w:after="120"/>
      </w:pPr>
      <w:r>
        <w:rPr>
          <w:b w:val="0"/>
          <w:i w:val="0"/>
          <w:sz w:val="22"/>
        </w:rPr>
        <w:t>We thank the editors and reviewers again for their time and guidance. All changes are marked in blue in the revised manuscript, and the code, seed lists and per-seed results accompanying the submission --- publicly available at https://github.com/ZS520L/QTS-ECG --- allow every number in the revised tables to be regenerated exactly.</w:t>
      </w:r>
    </w:p>
    <w:p>
      <w:pPr>
        <w:spacing w:after="40"/>
      </w:pPr>
      <w:r>
        <w:rPr>
          <w:b w:val="0"/>
          <w:i w:val="0"/>
          <w:sz w:val="22"/>
        </w:rPr>
        <w:t>Sincerely,</w:t>
      </w:r>
    </w:p>
    <w:p>
      <w:pPr>
        <w:spacing w:after="120"/>
      </w:pPr>
      <w:r>
        <w:rPr>
          <w:b w:val="0"/>
          <w:i w:val="0"/>
          <w:sz w:val="22"/>
        </w:rPr>
        <w:t>Jing Shen, Huashun Li (corresponding author) and Jian Gao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