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eastAsia="宋体"/>
          <w:b/>
          <w:i w:val="0"/>
          <w:sz w:val="32"/>
        </w:rPr>
        <w:t>审稿意见回复信（中文对照版）</w:t>
      </w:r>
    </w:p>
    <w:p>
      <w:pPr>
        <w:spacing w:after="40"/>
      </w:pPr>
      <w:r>
        <w:rPr>
          <w:rFonts w:ascii="Times New Roman" w:hAnsi="Times New Roman" w:eastAsia="宋体"/>
          <w:b/>
          <w:i w:val="0"/>
          <w:sz w:val="22"/>
        </w:rPr>
        <w:t>稿件编号：PMEA-107016</w:t>
      </w:r>
    </w:p>
    <w:p>
      <w:pPr>
        <w:spacing w:after="40"/>
      </w:pPr>
      <w:r>
        <w:rPr>
          <w:rFonts w:ascii="Times New Roman" w:hAnsi="Times New Roman" w:eastAsia="宋体"/>
          <w:b w:val="0"/>
          <w:i w:val="0"/>
          <w:sz w:val="22"/>
        </w:rPr>
        <w:t>题目：Quadratic Template Scoring: A Parameter-Efficient Approach to Unsupervised ECG Anomaly Detection</w:t>
      </w:r>
    </w:p>
    <w:p>
      <w:pPr>
        <w:spacing w:after="40"/>
      </w:pPr>
      <w:r>
        <w:rPr>
          <w:rFonts w:ascii="Times New Roman" w:hAnsi="Times New Roman" w:eastAsia="宋体"/>
          <w:b w:val="0"/>
          <w:i w:val="0"/>
          <w:sz w:val="22"/>
        </w:rPr>
        <w:t>期刊：Physiological Measurement</w:t>
      </w:r>
    </w:p>
    <w:p>
      <w:pPr>
        <w:spacing w:after="240"/>
      </w:pPr>
      <w:r>
        <w:rPr>
          <w:rFonts w:ascii="Times New Roman" w:hAnsi="Times New Roman" w:eastAsia="宋体"/>
          <w:b w:val="0"/>
          <w:i/>
          <w:sz w:val="20"/>
        </w:rPr>
        <w:t>说明：本中文版仅供作者内部审阅，提交以英文版为准；修订稿引文保留英文原文。</w:t>
      </w:r>
    </w:p>
    <w:p>
      <w:pPr>
        <w:spacing w:after="160"/>
      </w:pPr>
      <w:r>
        <w:rPr>
          <w:rFonts w:ascii="Times New Roman" w:hAnsi="Times New Roman" w:eastAsia="宋体"/>
          <w:b w:val="0"/>
          <w:i w:val="0"/>
          <w:sz w:val="22"/>
        </w:rPr>
        <w:t>尊敬的胡晓主编、David Jones 编辑及各位审稿人：</w:t>
      </w:r>
    </w:p>
    <w:p>
      <w:pPr>
        <w:spacing w:after="120"/>
      </w:pPr>
      <w:r>
        <w:rPr>
          <w:rFonts w:ascii="Times New Roman" w:hAnsi="Times New Roman" w:eastAsia="宋体"/>
          <w:b w:val="0"/>
          <w:i w:val="0"/>
          <w:sz w:val="22"/>
        </w:rPr>
        <w:t>感谢编辑部给予我们修改并重新提交的机会，也衷心感谢两位审稿人细致、建设性且坦率的意见。这些意见使论文变得明显更严谨、更诚实。</w:t>
      </w:r>
    </w:p>
    <w:p>
      <w:pPr>
        <w:spacing w:after="120"/>
      </w:pPr>
      <w:r>
        <w:rPr>
          <w:rFonts w:ascii="Times New Roman" w:hAnsi="Times New Roman" w:eastAsia="宋体"/>
          <w:b w:val="0"/>
          <w:i w:val="0"/>
          <w:sz w:val="22"/>
        </w:rPr>
        <w:t>在修改过程中，我们还对原实验流程做了内部审计，并全量重跑了所有实验，相关内容已如实写入修订稿（全部修改以蓝色标记）。主要修改如下：</w:t>
      </w:r>
    </w:p>
    <w:p>
      <w:pPr>
        <w:spacing w:after="120"/>
        <w:ind w:left="360"/>
      </w:pPr>
      <w:r>
        <w:rPr>
          <w:rFonts w:ascii="Times New Roman" w:hAnsi="Times New Roman" w:eastAsia="宋体"/>
          <w:b w:val="0"/>
          <w:i w:val="0"/>
          <w:sz w:val="22"/>
        </w:rPr>
        <w:t>•  预注册种子协议与全量重跑：所有实验（主表、效率、子类、尺度消融）均在事先固定的 10 个种子（0–9）上重跑，13 种方法共用同一组种子，种子同时决定初始化与患者级划分。全部表格与图已重新生成；新增逐种子结果图与配对差值置信区间图；代码、种子清单与复现文档随稿公开，公开仓库为 https://github.com/ZS520L/QTS-ECG（含代码、配置、预注册种子清单、分析脚本、逐种子结果文件、汇总表与图，以及 docs/REPRODUCIBILITY.md 复现指南：环境版本、数据校验和与预计耗时）。</w:t>
      </w:r>
    </w:p>
    <w:p>
      <w:pPr>
        <w:spacing w:after="120"/>
        <w:ind w:left="360"/>
      </w:pPr>
      <w:r>
        <w:rPr>
          <w:rFonts w:ascii="Times New Roman" w:hAnsi="Times New Roman" w:eastAsia="宋体"/>
          <w:b w:val="0"/>
          <w:i w:val="0"/>
          <w:sz w:val="22"/>
        </w:rPr>
        <w:t>•  收敛并更正结论性表述：修订稿不再声称"两个数据集均第一"：QTS 在 CPSC 2018 上第一（显著优于全部 12 个基线），在 PTB-XL 上第二（显著低于 Deep SVDD 0.015 AUROC，但显著优于其余 11 个基线）。删除了所有"首个……"类新颖性表述；训练时间与参数量改为实测值；统计检验改为 10 个种子上的双侧配对 Wilcoxon 检验并作 Holm 校正（原 5 种子单侧分析及其关于"双侧最小 p 值"的表述有误，已整体替换）。</w:t>
      </w:r>
    </w:p>
    <w:p>
      <w:pPr>
        <w:spacing w:after="120"/>
        <w:ind w:left="360"/>
      </w:pPr>
      <w:r>
        <w:rPr>
          <w:rFonts w:ascii="Times New Roman" w:hAnsi="Times New Roman" w:eastAsia="宋体"/>
          <w:b w:val="0"/>
          <w:i w:val="0"/>
          <w:sz w:val="22"/>
        </w:rPr>
        <w:t>•  按审稿要求新增内容：临床动机部分补充了近期临床 ECG-AI 证据，包括审稿人建议的 Letz et al. (2023)，以及 Hannun et al. (2019)、Attia et al. (2019)、Ribeiro et al. (2020)；新增 2.6 节综述近期 ECG 专用异常检测方法与基准（Zhou et al. 2025；Garreta Basora et al. 2025；Ibrahim et al. 2025）；更正了 Pan–Tompkins 算法的描述（它是滤波+自适应阈值的 QRS 检测器，而非模板匹配）；理论命题明确改标为"形式化直觉"；图 1 及其图注对每个范式（含 QTS）同时给出典型优势与典型风险；新增跨数据集迁移实验。</w:t>
      </w:r>
    </w:p>
    <w:p>
      <w:pPr>
        <w:spacing w:after="120"/>
        <w:ind w:left="360"/>
      </w:pPr>
      <w:r>
        <w:rPr>
          <w:rFonts w:ascii="Times New Roman" w:hAnsi="Times New Roman" w:eastAsia="宋体"/>
          <w:b w:val="0"/>
          <w:i w:val="0"/>
          <w:sz w:val="22"/>
        </w:rPr>
        <w:t>•  精简与期刊格式：压缩了 Introduction、Related Work、Theory、Discussion 之间重复的表述（在新增内容之外净减约 900 词）；参考文献与引用已全部改为 Physiological Measurement 要求的 Harvard 字母序格式。</w:t>
      </w:r>
    </w:p>
    <w:p>
      <w:pPr>
        <w:spacing w:after="120"/>
      </w:pPr>
      <w:r>
        <w:rPr>
          <w:rFonts w:ascii="Times New Roman" w:hAnsi="Times New Roman" w:eastAsia="宋体"/>
          <w:b w:val="0"/>
          <w:i w:val="0"/>
          <w:sz w:val="22"/>
        </w:rPr>
        <w:t>以下逐条回复每位审稿人的意见。修订稿引文以蓝色给出，与修订稿中的蓝色标记一致。希望修订后的稿件能够达到 Physiological Measurement 的发表标准。</w:t>
      </w:r>
    </w:p>
    <w:p>
      <w:pPr>
        <w:spacing w:after="40"/>
      </w:pPr>
      <w:r>
        <w:rPr>
          <w:rFonts w:ascii="Times New Roman" w:hAnsi="Times New Roman" w:eastAsia="宋体"/>
          <w:b w:val="0"/>
          <w:i w:val="0"/>
          <w:sz w:val="22"/>
        </w:rPr>
        <w:t>此致</w:t>
      </w:r>
    </w:p>
    <w:p>
      <w:pPr>
        <w:spacing w:after="280"/>
      </w:pPr>
      <w:r>
        <w:rPr>
          <w:rFonts w:ascii="Times New Roman" w:hAnsi="Times New Roman" w:eastAsia="宋体"/>
          <w:b w:val="0"/>
          <w:i w:val="0"/>
          <w:sz w:val="22"/>
        </w:rPr>
        <w:t>沈 Jing、李华顺（通讯作者）、高 Jian</w:t>
      </w:r>
    </w:p>
    <w:p>
      <w:pPr>
        <w:spacing w:after="120"/>
      </w:pPr>
      <w:r>
        <w:rPr>
          <w:rFonts w:ascii="Times New Roman" w:hAnsi="Times New Roman" w:eastAsia="宋体"/>
          <w:b/>
          <w:i w:val="0"/>
          <w:sz w:val="26"/>
        </w:rPr>
        <w:t>对审稿人 1 的回复</w:t>
      </w:r>
    </w:p>
    <w:p>
      <w:pPr>
        <w:spacing w:after="160"/>
      </w:pPr>
      <w:r>
        <w:rPr>
          <w:rFonts w:ascii="Times New Roman" w:hAnsi="Times New Roman" w:eastAsia="宋体"/>
          <w:b w:val="0"/>
          <w:i/>
          <w:sz w:val="22"/>
        </w:rPr>
        <w:t>审稿人意见概要：生理对齐假设是本文最强的新颖点；Introduction 应引用近期临床 ECG-AI 研究（特别是 Letz et al. 2023）；新颖性表述应显著收敛；理论部分应改标为直觉；图 1 应更平衡；全文应精简。</w:t>
      </w:r>
    </w:p>
    <w:p>
      <w:pPr>
        <w:spacing w:after="40"/>
      </w:pPr>
      <w:r>
        <w:rPr>
          <w:rFonts w:ascii="Times New Roman" w:hAnsi="Times New Roman" w:eastAsia="宋体"/>
          <w:b/>
          <w:i w:val="0"/>
          <w:sz w:val="22"/>
        </w:rPr>
        <w:t>回复：</w:t>
      </w:r>
    </w:p>
    <w:p>
      <w:pPr>
        <w:spacing w:after="200"/>
      </w:pPr>
      <w:r>
        <w:rPr>
          <w:rFonts w:ascii="Times New Roman" w:hAnsi="Times New Roman" w:eastAsia="宋体"/>
          <w:b w:val="0"/>
          <w:i w:val="0"/>
          <w:sz w:val="22"/>
        </w:rPr>
        <w:t>感谢审稿人肯定"生理对齐"这一核心科学想法，并给出精确、可执行的建议。我们同意全部意见并已逐条落实。</w:t>
      </w:r>
    </w:p>
    <w:p>
      <w:pPr>
        <w:spacing w:after="40"/>
      </w:pPr>
      <w:r>
        <w:rPr>
          <w:rFonts w:ascii="Times New Roman" w:hAnsi="Times New Roman" w:eastAsia="宋体"/>
          <w:b/>
          <w:i w:val="0"/>
          <w:sz w:val="22"/>
        </w:rPr>
        <w:t>意见 1.1（临床动机；在 Introduction 中引用 Letz et al. 2023）。</w:t>
      </w:r>
    </w:p>
    <w:p>
      <w:pPr>
        <w:spacing w:after="80"/>
      </w:pPr>
      <w:r>
        <w:rPr>
          <w:rFonts w:ascii="Times New Roman" w:hAnsi="Times New Roman" w:eastAsia="宋体"/>
          <w:b w:val="0"/>
          <w:i w:val="0"/>
          <w:sz w:val="22"/>
        </w:rPr>
        <w:t>回复：我们同意原稿的临床依据不够充分。已按建议在 Introduction 中"The ECG is fundamentally a quasi-periodic signal..."一段加入 Letz et al. (2023)，并一并补充三项临床 ECG-AI 研究；同时在 Clinical Implications 小节再次引用，使 QTS 的形态学前提有已发表临床结局支撑。</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“That diagnostically and prognostically relevant information is carried by ECG morphology is also supported by recent clinical ECG-AI studies: deep networks reach cardiologist-level arrhythmia detection from ambulatory ECGs (Hannun et al 2019), screen for ventricular contractile dysfunction from a single sinus-rhythm ECG (Attia et al 2019), automatically diagnose six rhythm and morphology classes across 12 leads (Ribeiro et al 2020), and detect left ventricular hypertrophy with prognostic value in haemodialysis patients (Letz et al 2023). These results motivate morphology-based prototype learning: if morphology carries the diagnostic signal, a model of normal morphology is a natural anomaly detector.”</w:t>
      </w:r>
    </w:p>
    <w:p>
      <w:pPr>
        <w:spacing w:after="40"/>
      </w:pPr>
      <w:r>
        <w:rPr>
          <w:rFonts w:ascii="Times New Roman" w:hAnsi="Times New Roman" w:eastAsia="宋体"/>
          <w:b/>
          <w:i w:val="0"/>
          <w:sz w:val="22"/>
        </w:rPr>
        <w:t>意见 1.2（收敛新颖性表述）。</w:t>
      </w:r>
    </w:p>
    <w:p>
      <w:pPr>
        <w:spacing w:after="80"/>
      </w:pPr>
      <w:r>
        <w:rPr>
          <w:rFonts w:ascii="Times New Roman" w:hAnsi="Times New Roman" w:eastAsia="宋体"/>
          <w:b w:val="0"/>
          <w:i w:val="0"/>
          <w:sz w:val="22"/>
        </w:rPr>
        <w:t>回复：完全接受该批评。所有"first work to ..."表述已删除。Contribution 1 现将 QTS 明确置于向量量化、字典学习与原型方法的长期谱系之中，只主张特定实例化（QT 对齐的滑窗向量量化、原始 12 导联输入、两卷积实现）及其系统性的预注册评估。Related Work 的稀疏编码/字典学习小节按同一精神重写；摘要也不再声称两个基准均第一。</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“Template matching, dictionary learning and vector quantisation are long-established tools (Linde et al 1980, Aharon et al 2006, Mairal et al 2010), including in their modern learned form (van den Oord et al 2017); our contribution is not the introduction of learnable templates per se, but a systematic instantiation and evaluation of sliding-window vector quantisation at a template length aligned with the QT interval, trained end-to-end on raw 12-lead ECG without beat segmentation and implemented as two standard 1D convolutions.”</w:t>
      </w:r>
    </w:p>
    <w:p>
      <w:pPr>
        <w:spacing w:after="40"/>
      </w:pPr>
      <w:r>
        <w:rPr>
          <w:rFonts w:ascii="Times New Roman" w:hAnsi="Times New Roman" w:eastAsia="宋体"/>
          <w:b/>
          <w:i w:val="0"/>
          <w:sz w:val="22"/>
        </w:rPr>
        <w:t>意见 1.3（命题 1–4 依赖未验证假设；应改标为直觉）。</w:t>
      </w:r>
    </w:p>
    <w:p>
      <w:pPr>
        <w:spacing w:after="80"/>
      </w:pPr>
      <w:r>
        <w:rPr>
          <w:rFonts w:ascii="Times New Roman" w:hAnsi="Times New Roman" w:eastAsia="宋体"/>
          <w:b w:val="0"/>
          <w:i w:val="0"/>
          <w:sz w:val="22"/>
        </w:rPr>
        <w:t>回复：同意。3.2 节开头新增"阅读说明"；各命题标题加"intuition"标签（命题 3 为"worst-case intuition"、命题 4 为"population-limit intuition"）；命题 1 后加备注，说明内在维数 d 是未经验证的工作假设；小节标题"Detection Separation Guarantee"改为"Detection Separation Intuition"；节末总结说明这些假设是可证伪的工作假设（例如可通过估计正常 ECG 窗流形的内在维数来检验），并把 QTS 的实证论证明确交给实验部分。</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“We state up front how these results should be read: the finite-prototype-coverage and intrinsic-dimensionality assumptions below are physiologically plausible but are not empirically verified in this work, and the comparison with reconstruction methods is a worst-case statement about unbounded decoder capacity. Propositions 1-4 are therefore intended as formalised intuition and theoretical motivation --- they make the inductive bias of QTS explicit and falsifiable --- rather than as substantive guarantees about trained models on finite data.”</w:t>
      </w:r>
    </w:p>
    <w:p>
      <w:pPr>
        <w:spacing w:after="40"/>
      </w:pPr>
      <w:r>
        <w:rPr>
          <w:rFonts w:ascii="Times New Roman" w:hAnsi="Times New Roman" w:eastAsia="宋体"/>
          <w:b/>
          <w:i w:val="0"/>
          <w:sz w:val="22"/>
        </w:rPr>
        <w:t>意见 1.4（图 1 读起来像 Advocacy；应更中立地呈现竞争方法）。</w:t>
      </w:r>
    </w:p>
    <w:p>
      <w:pPr>
        <w:spacing w:after="80"/>
      </w:pPr>
      <w:r>
        <w:rPr>
          <w:rFonts w:ascii="Times New Roman" w:hAnsi="Times New Roman" w:eastAsia="宋体"/>
          <w:b w:val="0"/>
          <w:i w:val="0"/>
          <w:sz w:val="22"/>
        </w:rPr>
        <w:t>回复：同意原图与图注只从失败模式一面呈现竞争范式。新图注对八个范式逐一给出核心机制、典型优势与典型风险（包括 QTS 自身的风险）；图前新增一段说明：这些失败模式是"典型"而非"普遍"的，并举出竞争范式的实际优势（包括在我们实验中仍然有竞争力者，如 VAE 在 PTB-XL 上第三）；同时指引读者查看 QTS 自身的量化局限（5.4、6.3 节）。</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“(1) QTS (ours): M prototypes cover the normal manifold directly in input space --- strength: inspectable ECG-waveform codebook and per-window explanations; risk: subtle, distributed deviations below the sample-wise noise floor. (2) Deep SVDD: a single hypersphere centre c in a learned feature space --- strength: strong, compact one-class boundary (best PTB-XL AUROC here); risk: mode collapse and no input-space interpretability. [...] (8) Isolation Forest: tree-based partitioning --- strength: near-zero training cost; risk: axis-aligned splits ignore morphological structure. [图注；正文随后补充:] We stress that the failure modes shown are characteristic, not universal: every paradigm in Figure 1 has demonstrated strengths in its original application domain [...]; QTS likewise has limitations, quantified in Sections 5.4-6.3; the figure should be read as a map of inductive biases and their characteristic risks, not as a ranking.”</w:t>
      </w:r>
    </w:p>
    <w:p>
      <w:pPr>
        <w:spacing w:after="40"/>
      </w:pPr>
      <w:r>
        <w:rPr>
          <w:rFonts w:ascii="Times New Roman" w:hAnsi="Times New Roman" w:eastAsia="宋体"/>
          <w:b/>
          <w:i w:val="0"/>
          <w:sz w:val="22"/>
        </w:rPr>
        <w:t>意见 1.5（以更多 ECG-AI 文献加强临床动机：LVH、心功能不全、风险预测）。</w:t>
      </w:r>
    </w:p>
    <w:p>
      <w:pPr>
        <w:spacing w:after="80"/>
      </w:pPr>
      <w:r>
        <w:rPr>
          <w:rFonts w:ascii="Times New Roman" w:hAnsi="Times New Roman" w:eastAsia="宋体"/>
          <w:b w:val="0"/>
          <w:i w:val="0"/>
          <w:sz w:val="22"/>
        </w:rPr>
        <w:t>回复：除 Letz et al. (2023)（血透患者 LVH 自动检测及其预测价值）外，新增 Attia et al. (2019)（AI-ECG 筛查心脏收缩功能不全，Nature Medicine）、Hannun et al. (2019)（动态心电图的心内科医生级心律失常检测，Nature Medicine）、Ribeiro et al. (2020)（12 导联自动诊断，Nature Communications）。这些文献出现在 Introduction（见意见 1.1）与 Clinical Implications 小节，后者将其与 QTS 的分诊用途相衔接。</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“The clinical ECG-AI literature supports the value of exactly this kind of morphology-level evidence: AI-ECG models whose predictions track morphological patterns have been shown to screen for ventricular contractile dysfunction (Attia et al 2019), detect left ventricular hypertrophy with prognostic value in haemodialysis patients (Letz et al 2023), and reach cardiologist-level arrhythmia classification (Hannun et al 2019, Ribeiro et al 2020). A triage tool that pairs a continuous anomaly score with inspectable template mismatches fits naturally into these screening pathways, reserving expert reading for the flagged fraction of recordings.”</w:t>
      </w:r>
    </w:p>
    <w:p>
      <w:pPr>
        <w:spacing w:after="40"/>
      </w:pPr>
      <w:r>
        <w:rPr>
          <w:rFonts w:ascii="Times New Roman" w:hAnsi="Times New Roman" w:eastAsia="宋体"/>
          <w:b/>
          <w:i w:val="0"/>
          <w:sz w:val="22"/>
        </w:rPr>
        <w:t>意见 1.6（精简全文；同一信息在多节重复）。</w:t>
      </w:r>
    </w:p>
    <w:p>
      <w:pPr>
        <w:spacing w:after="80"/>
      </w:pPr>
      <w:r>
        <w:rPr>
          <w:rFonts w:ascii="Times New Roman" w:hAnsi="Times New Roman" w:eastAsia="宋体"/>
          <w:b w:val="0"/>
          <w:i w:val="0"/>
          <w:sz w:val="22"/>
        </w:rPr>
        <w:t>回复：已按以下办法压缩（在新增小节、迁移实验与文献之外，正文净减约 900 词）：(i) Introduction 中关于重构失败与可解释性的两段合并为一段短段（形式化陈述在 3.2 节、实证陈述在第 5 节）；(ii) Related Work 2.1 中重复 Introduction 论证的第二段改为一句交叉引用；(iii) 稀疏编码小节结尾的主张缩短；(iv) Discussion 6.1 的 Factor 1–2 不再重述命题，改为引用 3.2 节；(v) 子类与消融讨论收紧。压缩后的 Introduction 段落示例：</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“Why not reconstruction or abstract features? Autoencoders and their variants score anomalies by reconstruction error, an objective that optimises signal fidelity rather than normality: a sufficiently expressive decoder can reconstruct unseen anomalies almost as well as normal beats (formalised as a worst-case intuition in Section 3.2). Representation-based methods such as Deep SVDD avoid reconstruction but place the decision boundary in an abstract feature space, so a flagged recording cannot be traced back to the morphological feature that caused the flag --- a practical obstacle in clinical deployment, where understanding the reason for a flag is as important as the flag itself.”</w:t>
      </w:r>
    </w:p>
    <w:p>
      <w:pPr>
        <w:spacing w:after="120"/>
      </w:pPr>
      <w:r>
        <w:rPr>
          <w:rFonts w:ascii="Times New Roman" w:hAnsi="Times New Roman" w:eastAsia="宋体"/>
          <w:b/>
          <w:i w:val="0"/>
          <w:sz w:val="26"/>
        </w:rPr>
        <w:t>对审稿人 2 的回复</w:t>
      </w:r>
    </w:p>
    <w:p>
      <w:pPr>
        <w:spacing w:after="160"/>
      </w:pPr>
      <w:r>
        <w:rPr>
          <w:rFonts w:ascii="Times New Roman" w:hAnsi="Times New Roman" w:eastAsia="宋体"/>
          <w:b w:val="0"/>
          <w:i/>
          <w:sz w:val="22"/>
        </w:rPr>
        <w:t>审稿人意见概要（编委初审报告）：主题相关且有临床价值，但缺少近期 ECG 领域文献；把 Pan–Tompkins 算法误述为模板匹配；临床论证居于数学框架之后；未与近期 ECG 专用方法在相同数据集上比较。</w:t>
      </w:r>
    </w:p>
    <w:p>
      <w:pPr>
        <w:spacing w:after="40"/>
      </w:pPr>
      <w:r>
        <w:rPr>
          <w:rFonts w:ascii="Times New Roman" w:hAnsi="Times New Roman" w:eastAsia="宋体"/>
          <w:b/>
          <w:i w:val="0"/>
          <w:sz w:val="22"/>
        </w:rPr>
        <w:t>回复：</w:t>
      </w:r>
    </w:p>
    <w:p>
      <w:pPr>
        <w:spacing w:after="200"/>
      </w:pPr>
      <w:r>
        <w:rPr>
          <w:rFonts w:ascii="Times New Roman" w:hAnsi="Times New Roman" w:eastAsia="宋体"/>
          <w:b w:val="0"/>
          <w:i w:val="0"/>
          <w:sz w:val="22"/>
        </w:rPr>
        <w:t>感谢审稿人简洁而准确的诊断。四点意见均已处理；我们也借此次修改之机，在预注册的 10 种子协议下重跑了全部实验并公开代码，使审稿人要求的 ECG 领域对比可以被他人核查与扩展。</w:t>
      </w:r>
    </w:p>
    <w:p>
      <w:pPr>
        <w:spacing w:after="40"/>
      </w:pPr>
      <w:r>
        <w:rPr>
          <w:rFonts w:ascii="Times New Roman" w:hAnsi="Times New Roman" w:eastAsia="宋体"/>
          <w:b/>
          <w:i w:val="0"/>
          <w:sz w:val="22"/>
        </w:rPr>
        <w:t>意见 2.1（缺少近期 ECG 领域文献；Pan–Tompkins 被误述为模板匹配）。</w:t>
      </w:r>
    </w:p>
    <w:p>
      <w:pPr>
        <w:spacing w:after="80"/>
      </w:pPr>
      <w:r>
        <w:rPr>
          <w:rFonts w:ascii="Times New Roman" w:hAnsi="Times New Roman" w:eastAsia="宋体"/>
          <w:b w:val="0"/>
          <w:i w:val="0"/>
          <w:sz w:val="22"/>
        </w:rPr>
        <w:t>回复：两点均属实。(a) Pan–Tompkins 是基于带通滤波、微分、平方与自适应阈值的 QRS 检测算法，并非模板匹配；修订稿已明确如此表述，模板匹配谱系改引 Kohler et al. (2002) 综述。(b) 全文补充近期 ECG 专用工作：新增 2.6 节"Recent ECG-Specific Anomaly Detection and Benchmarks"，讨论 MMAE-ECG（Zhou et al. 2025，PTB-XL）、注意力增强的 VAE-BiLSTM 研究（Garreta Basora et al. 2025，CPSC 2018）与神经架构搜索基准（Ibrahim et al. 2025，PTB-XL）；重构与表示两个小节也在相关处引用同一批工作；临床 ECG-AI 文献按意见 1.1/1.5 补充。</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“Classical template matching has a long history in ECG processing, primarily for beat classification and morphology clustering (Kohler et al 2002); by contrast, widely used QRS detectors such as the Pan-Tompkins algorithm operate by band-pass filtering and adaptive thresholding rather than by template comparison (Pan and Tompkins 1985).”</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“Unsupervised and self-supervised anomaly detection tailored to ECG has expanded rapidly. On PTB-XL, MMAE-ECG (Zhou Y et al 2025) combines multi-scale masking with a lightweight transformer encoder and reports 0.860 detection AUROC and 0.749 localisation AUROC at 0.398 M parameters, removing the heartbeat-segmentation pre-processing of earlier detectors. On CPSC 2018, Garreta Basora et al (2025) benchmark convolutional and recurrent variational autoencoders under a unified pipeline (0.77-0.80 AUROC, 0.80-0.81 AUPRC) and summarise earlier CPSC-2018 comparisons in which a plain VAE reached 0.83 AUROC and a plain AE 0.76. On the method-family level, Ibrahim et al (2025) searched six unsupervised families (Deep SVDD, AE/VAE, masked modelling, normalising flows, diffusion) on PTB-XL under microcontroller constraints and identified Deep SVDD as the Pareto-optimal filter.”</w:t>
      </w:r>
    </w:p>
    <w:p>
      <w:pPr>
        <w:spacing w:after="40"/>
      </w:pPr>
      <w:r>
        <w:rPr>
          <w:rFonts w:ascii="Times New Roman" w:hAnsi="Times New Roman" w:eastAsia="宋体"/>
          <w:b/>
          <w:i w:val="0"/>
          <w:sz w:val="22"/>
        </w:rPr>
        <w:t>意见 2.2（临床论证居于数学框架之后）。</w:t>
      </w:r>
    </w:p>
    <w:p>
      <w:pPr>
        <w:spacing w:after="80"/>
      </w:pPr>
      <w:r>
        <w:rPr>
          <w:rFonts w:ascii="Times New Roman" w:hAnsi="Times New Roman" w:eastAsia="宋体"/>
          <w:b w:val="0"/>
          <w:i w:val="0"/>
          <w:sz w:val="22"/>
        </w:rPr>
        <w:t>回复：从三方面重新平衡全文。其一，Introduction 的临床证据段（意见 1.1）现在先于并引出方法学展开；其二，数学部分 3.2 明确定位为服务于生理假设的形式化直觉而非贡献本身（意见 1.3），Discussion 的 Factors 改为引用而非重述；其三，Clinical Implications 小节将模板级解释与已发表的筛查路径相衔接（意见 1.5），子类分析也改用临床语言撰写（QTS 在哪些病理上可信、哪些上不可信）。</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“That diagnostically and prognostically relevant information is carried by ECG morphology is also supported by recent clinical ECG-AI studies [...] These results motivate morphology-based prototype learning: if morphology carries the diagnostic signal, a model of normal morphology is a natural anomaly detector. [Introduction] ... Propositions 1-4 are therefore intended as formalised intuition and theoretical motivation [...] The empirical case for QTS rests on Sections 5-6. [Section 3.2]”</w:t>
      </w:r>
    </w:p>
    <w:p>
      <w:pPr>
        <w:spacing w:after="40"/>
      </w:pPr>
      <w:r>
        <w:rPr>
          <w:rFonts w:ascii="Times New Roman" w:hAnsi="Times New Roman" w:eastAsia="宋体"/>
          <w:b/>
          <w:i w:val="0"/>
          <w:sz w:val="22"/>
        </w:rPr>
        <w:t>意见 2.3（与近期 ECG 专用方法在相同数据集上比较）。</w:t>
      </w:r>
    </w:p>
    <w:p>
      <w:pPr>
        <w:spacing w:after="80"/>
      </w:pPr>
      <w:r>
        <w:rPr>
          <w:rFonts w:ascii="Times New Roman" w:hAnsi="Times New Roman" w:eastAsia="宋体"/>
          <w:b w:val="0"/>
          <w:i w:val="0"/>
          <w:sz w:val="22"/>
        </w:rPr>
        <w:t>回复：从三个层面补充了所要求的比较。(i) 2.6 节报告近期 ECG 专用方法在 PTB-XL 与 CPSC 2018 上的公开数值，并明确说明为何不能与本文表格直接对比（划分方式、beat 级与 recording 级打分、部分使用监督定位标签的差异），同时指出这些数值与我们的结果相互印证（QTS 在 PTB-XL 为 0.862，MMAE-ECG 在其协议下为 0.860；QTS 在 CPSC 2018 为 0.840，近期自编码器变体为 0.77–0.83），并独立佐证我们的两个发现（Deep SVDD 在 PTB-XL 上的强度；轻量、非重构打分的竞争力）。(ii) 新增跨数据集迁移实验（5.5 节，表 5）：QTS、Deep SVDD、VAE 在同一组种子与划分下"在一个数据集训练、另一个数据集测试"；QTS 在 CPSC 2018 上训练后于 PTB-XL 达 0.884 AUROC，高于其 PTB-XL 域内结果（0.862）与同向迁移的 Deep SVDD（0.879）。(iii) 鉴于公开协议不一致，我们同时公开代码、固定种子与逐种子结果，任何近期方法都可以在与本文完全相同的协议下重跑；修订稿主表本身已建立在 13 种方法共用的 10 个预注册种子之上。</w:t>
      </w:r>
    </w:p>
    <w:p>
      <w:pPr>
        <w:spacing w:after="40"/>
      </w:pPr>
      <w:r>
        <w:rPr>
          <w:rFonts w:ascii="Times New Roman" w:hAnsi="Times New Roman" w:eastAsia="宋体"/>
          <w:b/>
          <w:i w:val="0"/>
          <w:sz w:val="22"/>
        </w:rPr>
        <w:t>修订稿对应修改（蓝色标记）：</w:t>
      </w:r>
    </w:p>
    <w:p>
      <w:pPr>
        <w:spacing w:after="200"/>
        <w:ind w:left="504"/>
      </w:pPr>
      <w:r>
        <w:rPr>
          <w:rFonts w:ascii="Times New Roman" w:hAnsi="Times New Roman" w:eastAsia="宋体"/>
          <w:b w:val="0"/>
          <w:i w:val="0"/>
          <w:color w:val="0000CC"/>
          <w:sz w:val="22"/>
        </w:rPr>
        <w:t>“These studies differ from our protocol in split construction, scoring unit (beat- vs. recording-level) and, in part, label usage, so their numbers are not directly comparable to Table 2; they do, however, bracket our results (QTS: 0.862 on PTB-XL, 0.840 on CPSC 2018) and independently corroborate two of our empirical findings: the strength of Deep SVDD on PTB-XL and the competitiveness of lightweight, reconstruction-free scoring on ECG. [Section 2.6] ... QTS templates trained on CPSC 2018 transfer to PTB-XL without loss --- indeed exceeding QTS trained in-domain on PTB-XL (0.884 vs. 0.862) and Deep SVDD transferred in the same direction (0.879) --- while transfer in the PTB-XL to CPSC direction costs about 0.04 AUROC for both QTS and Deep SVDD. [Section 5.5]”</w:t>
      </w:r>
    </w:p>
    <w:p>
      <w:pPr>
        <w:spacing w:after="120"/>
      </w:pPr>
      <w:r>
        <w:rPr>
          <w:rFonts w:ascii="Times New Roman" w:hAnsi="Times New Roman" w:eastAsia="宋体"/>
          <w:b/>
          <w:i w:val="0"/>
          <w:sz w:val="26"/>
        </w:rPr>
        <w:t>修改期间主动作出的更正</w:t>
      </w:r>
    </w:p>
    <w:p>
      <w:pPr>
        <w:spacing w:after="120"/>
      </w:pPr>
      <w:r>
        <w:rPr>
          <w:rFonts w:ascii="Times New Roman" w:hAnsi="Times New Roman" w:eastAsia="宋体"/>
          <w:b w:val="0"/>
          <w:i w:val="0"/>
          <w:sz w:val="22"/>
        </w:rPr>
        <w:t>修改期间我们审计了原实验流程并重跑了全部实验。以下更正虽非审稿人要求，但已写入修订稿（蓝色），并在此完整列出以示透明：</w:t>
      </w:r>
    </w:p>
    <w:p>
      <w:pPr>
        <w:spacing w:after="120"/>
        <w:ind w:left="360"/>
      </w:pPr>
      <w:r>
        <w:rPr>
          <w:rFonts w:ascii="Times New Roman" w:hAnsi="Times New Roman" w:eastAsia="宋体"/>
          <w:b w:val="0"/>
          <w:i w:val="0"/>
          <w:sz w:val="22"/>
        </w:rPr>
        <w:t>•  种子协议：原 5 种子协议替换为事先固定的 10 个种子（0–9），所有方法共用，种子同时决定初始化与患者级划分；全部均值、标准差、表格与图重新生成（表 2–5、图 3–8）。</w:t>
      </w:r>
    </w:p>
    <w:p>
      <w:pPr>
        <w:spacing w:after="120"/>
        <w:ind w:left="360"/>
      </w:pPr>
      <w:r>
        <w:rPr>
          <w:rFonts w:ascii="Times New Roman" w:hAnsi="Times New Roman" w:eastAsia="宋体"/>
          <w:b w:val="0"/>
          <w:i w:val="0"/>
          <w:sz w:val="22"/>
        </w:rPr>
        <w:t>•  排名与显著性表述：修订稿改为"QTS 在 CPSC 2018 第一、在 PTB-XL 第二（显著低于 Deep SVDD，配对差 -0.0146 AUROC，95% CI [-0.0210, -0.0082]，0/10 种子胜），并显著优于其余 11 个基线"。统计检验改为 10 种子上的双侧配对 Wilcoxon + Holm 校正，报告 95% 置信区间；新增逐种子图与配对差值图使每个对比可核查。原稿"p = 0.031 是 n = 5 时可达到的最小双侧 p 值"的表述有误（0.031 = 1/32 是单侧最小值，n = 5 的双侧最小值为 0.0625），已删除。</w:t>
      </w:r>
    </w:p>
    <w:p>
      <w:pPr>
        <w:spacing w:after="120"/>
        <w:ind w:left="360"/>
      </w:pPr>
      <w:r>
        <w:rPr>
          <w:rFonts w:ascii="Times New Roman" w:hAnsi="Times New Roman" w:eastAsia="宋体"/>
          <w:b w:val="0"/>
          <w:i w:val="0"/>
          <w:sz w:val="22"/>
        </w:rPr>
        <w:t>•  参数量与耗时改为实测：基线参数量按公开实现实测（如 VAE 31.46M、TranAD 4.53M、Anomaly Transformer 4.61M、Deep SVDD 92K）；训练时间为每种子的实测均值（QTS 在单张消费级 GPU 上约 171 s / PTB-XL、17 s / CPSC 2018），替换原"不到 1 分钟 / 快 8–20 倍"的表述。</w:t>
      </w:r>
    </w:p>
    <w:p>
      <w:pPr>
        <w:spacing w:after="120"/>
        <w:ind w:left="360"/>
      </w:pPr>
      <w:r>
        <w:rPr>
          <w:rFonts w:ascii="Times New Roman" w:hAnsi="Times New Roman" w:eastAsia="宋体"/>
          <w:b w:val="0"/>
          <w:i w:val="0"/>
          <w:sz w:val="22"/>
        </w:rPr>
        <w:t>•  数据集与预处理描述：CPSC 2018 异常/正常比例改为全库约 6.5:1（测试集约 6.7:1），替换错误的 43:1；归一化正确描述为逐导联 Z-score；并新增说明：在该不平衡度下，阈值优化 F1 接近"全判异常"的平凡分类器。</w:t>
      </w:r>
    </w:p>
    <w:p>
      <w:pPr>
        <w:spacing w:after="120"/>
        <w:ind w:left="360"/>
      </w:pPr>
      <w:r>
        <w:rPr>
          <w:rFonts w:ascii="Times New Roman" w:hAnsi="Times New Roman" w:eastAsia="宋体"/>
          <w:b w:val="0"/>
          <w:i w:val="0"/>
          <w:sz w:val="22"/>
        </w:rPr>
        <w:t>•  消融协议：尺度消融改为与主实验完全相同的协议与种子（原消融使用不同的学习率/轮数预算），K=155 与各配置的差异均给出配对检验；"单尺度胜过所有多尺度变体"的主张替换为实测的、依数据集而分的表述。</w:t>
      </w:r>
    </w:p>
    <w:p>
      <w:pPr>
        <w:spacing w:after="120"/>
      </w:pPr>
      <w:r>
        <w:rPr>
          <w:rFonts w:ascii="Times New Roman" w:hAnsi="Times New Roman" w:eastAsia="宋体"/>
          <w:b w:val="0"/>
          <w:i w:val="0"/>
          <w:sz w:val="22"/>
        </w:rPr>
      </w:r>
    </w:p>
    <w:p>
      <w:pPr>
        <w:spacing w:after="120"/>
      </w:pPr>
      <w:r>
        <w:rPr>
          <w:rFonts w:ascii="Times New Roman" w:hAnsi="Times New Roman" w:eastAsia="宋体"/>
          <w:b w:val="0"/>
          <w:i w:val="0"/>
          <w:sz w:val="22"/>
        </w:rPr>
        <w:t>再次感谢编辑与审稿人的时间与指导。所有修改在修订稿中以蓝色标出；随稿公开的代码、种子清单与逐种子结果（公开仓库 https://github.com/ZS520L/QTS-ECG）可精确复现修订稿表格中的每一个数字。</w:t>
      </w:r>
    </w:p>
    <w:p>
      <w:pPr>
        <w:spacing w:after="40"/>
      </w:pPr>
      <w:r>
        <w:rPr>
          <w:rFonts w:ascii="Times New Roman" w:hAnsi="Times New Roman" w:eastAsia="宋体"/>
          <w:b w:val="0"/>
          <w:i w:val="0"/>
          <w:sz w:val="22"/>
        </w:rPr>
        <w:t>此致</w:t>
      </w:r>
    </w:p>
    <w:p>
      <w:pPr>
        <w:spacing w:after="120"/>
      </w:pPr>
      <w:r>
        <w:rPr>
          <w:rFonts w:ascii="Times New Roman" w:hAnsi="Times New Roman" w:eastAsia="宋体"/>
          <w:b w:val="0"/>
          <w:i w:val="0"/>
          <w:sz w:val="22"/>
        </w:rPr>
        <w:t>沈 Jing、李华顺（通讯作者）、高 Jian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