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每日财务报告</w:t>
      </w:r>
    </w:p>
    <w:p>
      <w:r>
        <w:t>报告生成时间:2026-08-24 23:56</w:t>
      </w:r>
    </w:p>
    <w:p/>
    <w:p>
      <w:pPr>
        <w:pStyle w:val="Heading1"/>
      </w:pPr>
      <w:r>
        <w:t>一、财务总结</w:t>
      </w:r>
    </w:p>
    <w:p>
      <w:r>
        <w:t>根据提供的财务记录，以下是2026年7月期间中午消费的详细总结：### 2026年7月1日- **消费记录**：    - 中午日常消费：花费5元  - 中午日常消费：花费5元  - 中午日常消费：花费8元  - 中午日常消费：花费6元  - 中午日常消费：花费5元  - 中午日常消费：花费5元  - 中午日常消费：花费6元### 2026年7月2日- **收入记录**：    - 中午收入来源：花费6元### 2026年7月9日- **消费记录**：    - 中午日常消费：花费6元### 2026年7月15日- **消费记录**：    - 中午日常消费：花费7元### 2026年7月16日- **消费记录**：    - 中午日常消费：花费8元### 2026年7月18日- **消费记录**：    - 中午饭：花费10元### 2026年7月20日- **消费记录**：    - 中午日常消费：花费5元### 其他补充信息：- **2026年7月1日**的记录包含多个重复的中午日常消费5元，可能是一个输入错误。- **2026年7月1日**的记录包含多个重复的中午日常消费，可能是一个输入错误。- 2026年7月的消费记录中多次出现中午日常消费，这表明在这一时间段内，您有较多的日常消费活动。如有更多问题或需要进一步分析，请告知。</w:t>
      </w:r>
    </w:p>
    <w:p>
      <w:pPr>
        <w:pStyle w:val="Heading1"/>
      </w:pPr>
      <w:r>
        <w:t>二、明细数据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金额 (元)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2026-08-24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2026-08-22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15.5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2026-08-02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2026-07-31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2026-07-18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2026-07-16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2026-07-02</w:t>
            </w:r>
          </w:p>
        </w:tc>
        <w:tc>
          <w:tcPr>
            <w:tcW w:type="dxa" w:w="2160"/>
          </w:tcPr>
          <w:p>
            <w:r>
              <w:t>收入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收入来源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