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36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2"/>
        </w:rPr>
        <w:t>课程课件 | 五天验收测试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60"/>
        </w:rPr>
        <w:t>传输层协议：TCP 与 UDP 完整课件</w:t>
      </w:r>
    </w:p>
    <w:p>
      <w:pPr>
        <w:spacing w:after="1720"/>
        <w:jc w:val="center"/>
      </w:pPr>
      <w:r>
        <w:rPr>
          <w:rFonts w:ascii="Calibri" w:hAnsi="Calibri" w:eastAsia="Microsoft YaHei"/>
          <w:b w:val="0"/>
          <w:color w:val="2E74B5"/>
          <w:sz w:val="30"/>
        </w:rPr>
        <w:t>连接、可靠性、端口、校验和与应用选择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58646B"/>
          <w:sz w:val="21"/>
        </w:rPr>
        <w:t>课程：计算机网络核心原理与故障诊断</w:t>
      </w:r>
    </w:p>
    <w:p>
      <w:pPr>
        <w:jc w:val="center"/>
      </w:pPr>
      <w:r>
        <w:rPr>
          <w:rFonts w:ascii="Calibri" w:hAnsi="Calibri" w:eastAsia="Microsoft YaHei"/>
          <w:b w:val="0"/>
          <w:color w:val="58646B"/>
          <w:sz w:val="20"/>
        </w:rPr>
        <w:t>版本 1.0 | 2026-08-24 | 仅含测试数据</w:t>
      </w:r>
    </w:p>
    <w:p>
      <w:r>
        <w:br w:type="page"/>
      </w:r>
    </w:p>
    <w:p>
      <w:pPr>
        <w:pStyle w:val="Heading1"/>
      </w:pPr>
      <w:r>
        <w:t>学习目标</w:t>
      </w:r>
    </w:p>
    <w:p>
      <w:pPr/>
      <w:r>
        <w:t>能比较 TCP 与 UDP 的服务边界，并用报文证据解释故障。</w:t>
      </w:r>
    </w:p>
    <w:p>
      <w:pPr>
        <w:pStyle w:val="Heading1"/>
      </w:pPr>
      <w:r>
        <w:t>TCP 连接与可靠性</w:t>
      </w:r>
    </w:p>
    <w:p>
      <w:pPr/>
      <w:r>
        <w:t>三次握手同步双方序号空间；序号、确认、超时重传和接收窗口共同支撑可靠有序字节流。</w:t>
      </w:r>
    </w:p>
    <w:p>
      <w:pPr/>
      <w:r>
        <w:t>ACK 不要求携带应用数据，重复 ACK 可成为丢包线索。</w:t>
      </w:r>
    </w:p>
    <w:p>
      <w:pPr>
        <w:pStyle w:val="Heading1"/>
      </w:pPr>
      <w:r>
        <w:t>UDP 数据报</w:t>
      </w:r>
    </w:p>
    <w:p>
      <w:pPr/>
      <w:r>
        <w:t>UDP 首部包含源端口、目的端口、长度和校验和。协议不自动保证有序、无重复或重传。</w:t>
      </w:r>
    </w:p>
    <w:p>
      <w:pPr>
        <w:pStyle w:val="Heading1"/>
      </w:pPr>
      <w:r>
        <w:t>协议选择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2100"/>
        <w:gridCol w:w="50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2100"/>
            <w:shd w:fill="E8EEF5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优先协议</w:t>
            </w:r>
          </w:p>
        </w:tc>
        <w:tc>
          <w:tcPr>
            <w:tcW w:type="dxa" w:w="5060"/>
            <w:shd w:fill="E8EEF5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判断依据</w:t>
            </w:r>
          </w:p>
        </w:tc>
      </w:tr>
      <w:tr>
        <w:trPr/>
        <w:tc>
          <w:tcPr>
            <w:tcW w:type="dxa" w:w="22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文件下载</w:t>
            </w:r>
          </w:p>
        </w:tc>
        <w:tc>
          <w:tcPr>
            <w:tcW w:type="dxa" w:w="21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TCP</w:t>
            </w:r>
          </w:p>
        </w:tc>
        <w:tc>
          <w:tcPr>
            <w:tcW w:type="dxa" w:w="50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完整、有序</w:t>
            </w:r>
          </w:p>
        </w:tc>
      </w:tr>
      <w:tr>
        <w:trPr/>
        <w:tc>
          <w:tcPr>
            <w:tcW w:type="dxa" w:w="22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实时语音</w:t>
            </w:r>
          </w:p>
        </w:tc>
        <w:tc>
          <w:tcPr>
            <w:tcW w:type="dxa" w:w="21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UDP/实时传输栈</w:t>
            </w:r>
          </w:p>
        </w:tc>
        <w:tc>
          <w:tcPr>
            <w:tcW w:type="dxa" w:w="50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低时延、容忍少量丢失</w:t>
            </w:r>
          </w:p>
        </w:tc>
      </w:tr>
      <w:tr>
        <w:trPr/>
        <w:tc>
          <w:tcPr>
            <w:tcW w:type="dxa" w:w="22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DNS 查询</w:t>
            </w:r>
          </w:p>
        </w:tc>
        <w:tc>
          <w:tcPr>
            <w:tcW w:type="dxa" w:w="21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UDP 或 TCP</w:t>
            </w:r>
          </w:p>
        </w:tc>
        <w:tc>
          <w:tcPr>
            <w:tcW w:type="dxa" w:w="50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受响应大小和操作类型影响</w:t>
            </w:r>
          </w:p>
        </w:tc>
      </w:tr>
    </w:tbl>
    <w:p/>
    <w:p>
      <w:pPr>
        <w:pStyle w:val="Heading1"/>
      </w:pPr>
      <w:r>
        <w:t>故障练习</w:t>
      </w:r>
    </w:p>
    <w:p>
      <w:pPr/>
      <w:r>
        <w:t>客户端 SYN 发出后没有 SYN-ACK：分别从路由、防火墙、端口监听和回程路径提出可证伪假设。</w:t>
      </w:r>
    </w:p>
    <w:p>
      <w:pPr>
        <w:pStyle w:val="Heading1"/>
      </w:pPr>
      <w:r>
        <w:t>来源与使用说明</w:t>
      </w:r>
    </w:p>
    <w:p>
      <w:pPr/>
      <w:r>
        <w:t>以下规范用于技术事实核对；RFC 原文未在本课件中改写为 RFC 格式。</w:t>
      </w:r>
    </w:p>
    <w:p>
      <w:pPr/>
      <w:r>
        <w:rPr>
          <w:rFonts w:ascii="Calibri" w:hAnsi="Calibri" w:eastAsia="Microsoft YaHei"/>
          <w:b w:val="0"/>
          <w:color w:val="2E74B5"/>
          <w:sz w:val="19"/>
        </w:rPr>
        <w:t>https://www.rfc-editor.org/info/rfc9293/</w:t>
      </w:r>
    </w:p>
    <w:p>
      <w:pPr/>
      <w:r>
        <w:rPr>
          <w:rFonts w:ascii="Calibri" w:hAnsi="Calibri" w:eastAsia="Microsoft YaHei"/>
          <w:b w:val="0"/>
          <w:color w:val="2E74B5"/>
          <w:sz w:val="19"/>
        </w:rPr>
        <w:t>https://www.rfc-editor.org/info/rfc768/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8646B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58646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color w:val="58646B"/>
        <w:sz w:val="18"/>
      </w:rPr>
      <w:t>课业智析 | 计算机网络验收课件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传输层协议：TCP 与 UDP 完整课件</dc:title>
  <dc:subject>Course Insight acceptance-test courseware</dc:subject>
  <dc:creator>Course Insight Acceptance Test</dc:creator>
  <cp:keywords>TCP, UDP, 计算机网络, 验收测试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