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color w:val="1F4E79"/>
                <w:sz w:val="36"/>
              </w:rPr>
              <w:t>[ТОО «___»]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color w:val="555555"/>
                <w:sz w:val="18"/>
              </w:rPr>
              <w:t>[Адрес: г. ___, ул. ___, д. ___]</w:t>
            </w:r>
          </w:p>
          <w:p>
            <w:pPr>
              <w:jc w:val="right"/>
            </w:pPr>
            <w:r>
              <w:rPr>
                <w:color w:val="555555"/>
                <w:sz w:val="18"/>
              </w:rPr>
              <w:t>[БИН: ___]</w:t>
            </w:r>
          </w:p>
          <w:p>
            <w:pPr>
              <w:jc w:val="right"/>
            </w:pPr>
            <w:r>
              <w:rPr>
                <w:color w:val="555555"/>
                <w:sz w:val="18"/>
              </w:rPr>
              <w:t>[ИИК: ___ / БИК: ___]</w:t>
            </w:r>
          </w:p>
          <w:p>
            <w:pPr>
              <w:jc w:val="right"/>
            </w:pPr>
            <w:r>
              <w:rPr>
                <w:color w:val="555555"/>
                <w:sz w:val="18"/>
              </w:rPr>
              <w:t>[Тел.: +7 (___) ___-__-__]</w:t>
            </w:r>
          </w:p>
          <w:p>
            <w:pPr>
              <w:jc w:val="right"/>
            </w:pPr>
            <w:r>
              <w:rPr>
                <w:color w:val="555555"/>
                <w:sz w:val="18"/>
              </w:rPr>
              <w:t>[E-mail: ___@___.kz]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sz w:val="20"/>
              </w:rPr>
              <w:t>Исх. № [___]   от  «___» _________ 2025 г.</w:t>
            </w:r>
          </w:p>
        </w:tc>
        <w:tc>
          <w:tcPr>
            <w:tcW w:type="dxa" w:w="4986"/>
          </w:tcPr>
          <w:p/>
        </w:tc>
      </w:tr>
    </w:tbl>
    <w:p/>
    <w:p>
      <w:pPr>
        <w:jc w:val="right"/>
      </w:pPr>
      <w:r>
        <w:rPr>
          <w:b/>
          <w:sz w:val="22"/>
        </w:rPr>
        <w:t>АО «Каражанбасмунай»</w:t>
      </w:r>
    </w:p>
    <w:p>
      <w:pPr>
        <w:jc w:val="right"/>
      </w:pPr>
      <w:r>
        <w:rPr>
          <w:b/>
          <w:sz w:val="22"/>
        </w:rPr>
        <w:t>Генеральному директору</w:t>
      </w:r>
    </w:p>
    <w:p>
      <w:pPr>
        <w:jc w:val="right"/>
      </w:pPr>
      <w:r>
        <w:rPr>
          <w:b/>
          <w:sz w:val="22"/>
        </w:rPr>
        <w:t>г-ну Сәрсенбай Нұрпейіс Мизанбайұлы</w:t>
      </w:r>
    </w:p>
    <w:p>
      <w:pPr>
        <w:jc w:val="right"/>
      </w:pPr>
      <w:r>
        <w:rPr>
          <w:b w:val="0"/>
          <w:sz w:val="22"/>
        </w:rPr>
      </w:r>
    </w:p>
    <w:p>
      <w:pPr>
        <w:jc w:val="right"/>
      </w:pPr>
      <w:r>
        <w:rPr>
          <w:b/>
          <w:sz w:val="22"/>
        </w:rPr>
        <w:t>Первому заместителю генерального директора</w:t>
      </w:r>
    </w:p>
    <w:p>
      <w:pPr>
        <w:jc w:val="right"/>
      </w:pPr>
      <w:r>
        <w:rPr>
          <w:b/>
          <w:sz w:val="22"/>
        </w:rPr>
        <w:t>г-ну Ван Вэй</w:t>
      </w:r>
    </w:p>
    <w:p/>
    <w:p>
      <w:pPr>
        <w:spacing w:before="120" w:after="200"/>
        <w:jc w:val="center"/>
      </w:pPr>
      <w:r>
        <w:rPr>
          <w:b/>
          <w:color w:val="1F4E79"/>
          <w:sz w:val="32"/>
        </w:rPr>
        <w:t>Коммерческое предложение</w:t>
      </w:r>
    </w:p>
    <w:p>
      <w:pPr>
        <w:jc w:val="both"/>
      </w:pPr>
      <w:r>
        <w:rPr>
          <w:b w:val="0"/>
          <w:i w:val="0"/>
          <w:sz w:val="22"/>
        </w:rPr>
        <w:t>на внедрение и сопровождение «Электронной системы Нарядов-Допусков» (далее — Система) для нужд АО «Каражанбасмунай».</w:t>
      </w:r>
    </w:p>
    <w:p>
      <w:pPr>
        <w:spacing w:before="120" w:after="80"/>
        <w:jc w:val="left"/>
      </w:pPr>
      <w:r>
        <w:rPr>
          <w:b/>
          <w:color w:val="1F4E79"/>
          <w:sz w:val="26"/>
        </w:rPr>
        <w:t>1. О предлагаемом решении</w:t>
      </w:r>
    </w:p>
    <w:p>
      <w:pPr>
        <w:jc w:val="both"/>
      </w:pPr>
      <w:r>
        <w:rPr>
          <w:b w:val="0"/>
          <w:i w:val="0"/>
          <w:sz w:val="22"/>
        </w:rPr>
        <w:t>Готовое к промышленной эксплуатации web-решение, разработанное на современном технологическом стеке (Python/Django 5, React 19, PostgreSQL). Система полностью покрывает жизненный цикл наряда-допуска: от создания инициатором — до закрытия производителем работ и архивирования, с автоматической маршрутизацией согласований, фиксацией ответственности и поддержкой ЭЦП НУЦ РК.</w:t>
      </w:r>
    </w:p>
    <w:p>
      <w:pPr>
        <w:spacing w:before="120" w:after="80"/>
        <w:jc w:val="left"/>
      </w:pPr>
      <w:r>
        <w:rPr>
          <w:b/>
          <w:color w:val="1F4E79"/>
          <w:sz w:val="26"/>
        </w:rPr>
        <w:t>2. Ключевые функциональные возможности</w:t>
      </w:r>
    </w:p>
    <w:p>
      <w:pPr>
        <w:pStyle w:val="ListBullet"/>
      </w:pPr>
      <w:r>
        <w:rPr>
          <w:sz w:val="22"/>
        </w:rPr>
        <w:t>Полный автоматизированный процесс наряда-допуска (создание, согласование, выдача, продление, закрытие).</w:t>
      </w:r>
    </w:p>
    <w:p>
      <w:pPr>
        <w:pStyle w:val="ListBullet"/>
      </w:pPr>
      <w:r>
        <w:rPr>
          <w:sz w:val="22"/>
        </w:rPr>
        <w:t>Гибкая ролевая модель: Администратор, Аудитор, Выдающий наряд, Ответственный руководитель работ, Допускающий, Производитель работ, Согласующий.</w:t>
      </w:r>
    </w:p>
    <w:p>
      <w:pPr>
        <w:pStyle w:val="ListBullet"/>
      </w:pPr>
      <w:r>
        <w:rPr>
          <w:sz w:val="22"/>
        </w:rPr>
        <w:t>Маршрут согласования по конечному автомату (FSM): Выдающий → Отв. руководитель → Допускающий → Производитель работ → доп. согласующие (до 5) → основной согласующий (нач. смены / инженер ТБ).</w:t>
      </w:r>
    </w:p>
    <w:p>
      <w:pPr>
        <w:pStyle w:val="ListBullet"/>
      </w:pPr>
      <w:r>
        <w:rPr>
          <w:sz w:val="22"/>
        </w:rPr>
        <w:t>Подписание ЭЦП НУЦ РК (Kalkan, ключи NCALayer / Kaztoken) в веб-интерфейсе; графическая (рукописная) подпись для исполнителей без ЭЦП.</w:t>
      </w:r>
    </w:p>
    <w:p>
      <w:pPr>
        <w:pStyle w:val="ListBullet"/>
      </w:pPr>
      <w:r>
        <w:rPr>
          <w:sz w:val="22"/>
        </w:rPr>
        <w:t>QR-верификация наряда — подлинность и текущий статус проверяются сканированием с мобильного устройства.</w:t>
      </w:r>
    </w:p>
    <w:p>
      <w:pPr>
        <w:pStyle w:val="ListBullet"/>
      </w:pPr>
      <w:r>
        <w:rPr>
          <w:sz w:val="22"/>
        </w:rPr>
        <w:t>Конструктор шаблонов нарядов: «Огневые работы», «Газоопасные», «Работы на высоте», «Электротехнические» (с матрицей изоляции и LOTO), «Земляные» и др.</w:t>
      </w:r>
    </w:p>
    <w:p>
      <w:pPr>
        <w:pStyle w:val="ListBullet"/>
      </w:pPr>
      <w:r>
        <w:rPr>
          <w:sz w:val="22"/>
        </w:rPr>
        <w:t>Журнал LOTO (Lock Out / Tag Out): регистрация изоляций, фото-фиксация схем, привязка к нарядам.</w:t>
      </w:r>
    </w:p>
    <w:p>
      <w:pPr>
        <w:pStyle w:val="ListBullet"/>
      </w:pPr>
      <w:r>
        <w:rPr>
          <w:sz w:val="22"/>
        </w:rPr>
        <w:t>Чек-листы безопасности и контроль допусковых процедур.</w:t>
      </w:r>
    </w:p>
    <w:p>
      <w:pPr>
        <w:pStyle w:val="ListBullet"/>
      </w:pPr>
      <w:r>
        <w:rPr>
          <w:sz w:val="22"/>
        </w:rPr>
        <w:t>Автогенерация выходных форм нарядов в DOCX/PDF по утверждённым шаблонам РК.</w:t>
      </w:r>
    </w:p>
    <w:p>
      <w:pPr>
        <w:pStyle w:val="ListBullet"/>
      </w:pPr>
      <w:r>
        <w:rPr>
          <w:sz w:val="22"/>
        </w:rPr>
        <w:t>Двуязычный интерфейс — русский и казахский (полностью локализован).</w:t>
      </w:r>
    </w:p>
    <w:p>
      <w:pPr>
        <w:pStyle w:val="ListBullet"/>
      </w:pPr>
      <w:r>
        <w:rPr>
          <w:sz w:val="22"/>
        </w:rPr>
        <w:t>Дашборды и статистика для роли «Аудитор» (среднее время закрытия, причины отклонений, нагрузка по подразделениям).</w:t>
      </w:r>
    </w:p>
    <w:p>
      <w:pPr>
        <w:pStyle w:val="ListBullet"/>
      </w:pPr>
      <w:r>
        <w:rPr>
          <w:sz w:val="22"/>
        </w:rPr>
        <w:t>Модуль уведомлений: оповещение исполнителей и согласующих о действиях, требующих внимания.</w:t>
      </w:r>
    </w:p>
    <w:p>
      <w:pPr>
        <w:pStyle w:val="ListBullet"/>
      </w:pPr>
      <w:r>
        <w:rPr>
          <w:sz w:val="22"/>
        </w:rPr>
        <w:t>AI-ассистент: контекстная помощь пользователю при заполнении и проверке нарядов.</w:t>
      </w:r>
    </w:p>
    <w:p>
      <w:pPr>
        <w:pStyle w:val="ListBullet"/>
      </w:pPr>
      <w:r>
        <w:rPr>
          <w:sz w:val="22"/>
        </w:rPr>
        <w:t>REST API (DRF) для интеграции с внутренними системами Заказчика (1С, SAP, кадровая система, СЭД).</w:t>
      </w:r>
    </w:p>
    <w:p>
      <w:pPr>
        <w:pStyle w:val="ListBullet"/>
      </w:pPr>
      <w:r>
        <w:rPr>
          <w:sz w:val="22"/>
        </w:rPr>
        <w:t>Готовая мобильная адаптация (PWA) — работа с планшета бригадира на объекте.</w:t>
      </w:r>
    </w:p>
    <w:p>
      <w:pPr>
        <w:spacing w:before="120" w:after="80"/>
        <w:jc w:val="left"/>
      </w:pPr>
      <w:r>
        <w:rPr>
          <w:b/>
          <w:color w:val="1F4E79"/>
          <w:sz w:val="26"/>
        </w:rPr>
        <w:t>3. Состав работ по внедрению</w:t>
      </w:r>
    </w:p>
    <w:p>
      <w:pPr>
        <w:pStyle w:val="ListBullet"/>
      </w:pPr>
      <w:r>
        <w:rPr>
          <w:sz w:val="22"/>
        </w:rPr>
        <w:t>Установка и настройка программного кода на сервере Заказчика.</w:t>
      </w:r>
    </w:p>
    <w:p>
      <w:pPr>
        <w:pStyle w:val="ListBullet"/>
      </w:pPr>
      <w:r>
        <w:rPr>
          <w:sz w:val="22"/>
        </w:rPr>
        <w:t>Развёртывание СУБД PostgreSQL и обвязки (Nginx, Gunicorn, резервное копирование).</w:t>
      </w:r>
    </w:p>
    <w:p>
      <w:pPr>
        <w:pStyle w:val="ListBullet"/>
      </w:pPr>
      <w:r>
        <w:rPr>
          <w:sz w:val="22"/>
        </w:rPr>
        <w:t>Ввод исходных данных (организационная структура, пользователи, шаблоны нарядов, справочники опасных работ, объекты).</w:t>
      </w:r>
    </w:p>
    <w:p>
      <w:pPr>
        <w:pStyle w:val="ListBullet"/>
      </w:pPr>
      <w:r>
        <w:rPr>
          <w:sz w:val="22"/>
        </w:rPr>
        <w:t>Интеграция с НУЦ РК (NCALayer/Kalkan) для подписания ЭЦП.</w:t>
      </w:r>
    </w:p>
    <w:p>
      <w:pPr>
        <w:pStyle w:val="ListBullet"/>
      </w:pPr>
      <w:r>
        <w:rPr>
          <w:sz w:val="22"/>
        </w:rPr>
        <w:t>Пуско-наладка и проверка работоспособности на тестовом контуре.</w:t>
      </w:r>
    </w:p>
    <w:p>
      <w:pPr>
        <w:pStyle w:val="ListBullet"/>
      </w:pPr>
      <w:r>
        <w:rPr>
          <w:sz w:val="22"/>
        </w:rPr>
        <w:t>Обучение пользователей и администраторов (с выездом на площадку Заказчика).</w:t>
      </w:r>
    </w:p>
    <w:p>
      <w:pPr>
        <w:pStyle w:val="ListBullet"/>
      </w:pPr>
      <w:r>
        <w:rPr>
          <w:sz w:val="22"/>
        </w:rPr>
        <w:t>Передача исходных кодов и эксплуатационной документации.</w:t>
      </w:r>
    </w:p>
    <w:p>
      <w:pPr>
        <w:pStyle w:val="ListBullet"/>
      </w:pPr>
      <w:r>
        <w:rPr>
          <w:sz w:val="22"/>
        </w:rPr>
        <w:t>Гарантийная поддержка в течение 12 месяцев с момента ввода в эксплуатацию.</w:t>
      </w:r>
    </w:p>
    <w:p>
      <w:pPr>
        <w:spacing w:before="120" w:after="80"/>
        <w:jc w:val="left"/>
      </w:pPr>
      <w:r>
        <w:rPr>
          <w:b/>
          <w:color w:val="1F4E79"/>
          <w:sz w:val="26"/>
        </w:rPr>
        <w:t>4. Стоимость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Наименование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Стоимость (без НДС),</w:t>
              <w:br/>
              <w:t>тенге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Стоимость (с НДС 16%),</w:t>
              <w:br/>
              <w:t>тенге</w:t>
            </w:r>
          </w:p>
        </w:tc>
      </w:tr>
      <w:tr>
        <w:tc>
          <w:tcPr>
            <w:tcW w:type="dxa" w:w="5102"/>
          </w:tcPr>
          <w:p>
            <w:r>
              <w:rPr>
                <w:b/>
                <w:sz w:val="22"/>
              </w:rPr>
              <w:t>Внедрение Системы</w:t>
            </w:r>
          </w:p>
          <w:p>
            <w:pPr>
              <w:ind w:left="170"/>
            </w:pPr>
            <w:r>
              <w:rPr>
                <w:sz w:val="20"/>
              </w:rPr>
              <w:t>• установка и настройка ПО на сервере Заказчика;</w:t>
            </w:r>
          </w:p>
          <w:p>
            <w:pPr>
              <w:ind w:left="170"/>
            </w:pPr>
            <w:r>
              <w:rPr>
                <w:sz w:val="20"/>
              </w:rPr>
              <w:t>• развёртывание СУБД и инфраструктуры;</w:t>
            </w:r>
          </w:p>
          <w:p>
            <w:pPr>
              <w:ind w:left="170"/>
            </w:pPr>
            <w:r>
              <w:rPr>
                <w:sz w:val="20"/>
              </w:rPr>
              <w:t>• ввод исходных данных и справочников;</w:t>
            </w:r>
          </w:p>
          <w:p>
            <w:pPr>
              <w:ind w:left="170"/>
            </w:pPr>
            <w:r>
              <w:rPr>
                <w:sz w:val="20"/>
              </w:rPr>
              <w:t>• интеграция с НУЦ РК (ЭЦП);</w:t>
            </w:r>
          </w:p>
          <w:p>
            <w:pPr>
              <w:ind w:left="170"/>
            </w:pPr>
            <w:r>
              <w:rPr>
                <w:sz w:val="20"/>
              </w:rPr>
              <w:t>• пуско-наладка и обучение пользователей с выездом;</w:t>
            </w:r>
          </w:p>
          <w:p>
            <w:pPr>
              <w:ind w:left="170"/>
            </w:pPr>
            <w:r>
              <w:rPr>
                <w:sz w:val="20"/>
              </w:rPr>
              <w:t>• передача исходных кодов и документации;</w:t>
            </w:r>
          </w:p>
          <w:p>
            <w:pPr>
              <w:ind w:left="170"/>
            </w:pPr>
            <w:r>
              <w:rPr>
                <w:sz w:val="20"/>
              </w:rPr>
              <w:t>• гарантийная поддержка 12 месяцев — включено.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>0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(бесплатно при заключении договора годового сопровождения)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>0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(бесплатно при заключении договора годового сопровождения)</w:t>
            </w:r>
          </w:p>
        </w:tc>
      </w:tr>
      <w:tr>
        <w:tc>
          <w:tcPr>
            <w:tcW w:type="dxa" w:w="5102"/>
          </w:tcPr>
          <w:p>
            <w:r>
              <w:rPr>
                <w:b/>
                <w:sz w:val="22"/>
              </w:rPr>
              <w:t>Обязательное годовое техническое сопровождение</w:t>
            </w:r>
          </w:p>
          <w:p>
            <w:pPr>
              <w:ind w:left="170"/>
            </w:pPr>
            <w:r>
              <w:rPr>
                <w:sz w:val="20"/>
              </w:rPr>
              <w:t>• оперативное устранение ошибок и инцидентов;</w:t>
            </w:r>
          </w:p>
          <w:p>
            <w:pPr>
              <w:ind w:left="170"/>
            </w:pPr>
            <w:r>
              <w:rPr>
                <w:sz w:val="20"/>
              </w:rPr>
              <w:t>• мониторинг работоспособности Системы 24/7;</w:t>
            </w:r>
          </w:p>
          <w:p>
            <w:pPr>
              <w:ind w:left="170"/>
            </w:pPr>
            <w:r>
              <w:rPr>
                <w:sz w:val="20"/>
              </w:rPr>
              <w:t>• администрирование ПО и резервное копирование данных;</w:t>
            </w:r>
          </w:p>
          <w:p>
            <w:pPr>
              <w:ind w:left="170"/>
            </w:pPr>
            <w:r>
              <w:rPr>
                <w:sz w:val="20"/>
              </w:rPr>
              <w:t>• обновление ПО при изменении законодательства РК;</w:t>
            </w:r>
          </w:p>
          <w:p>
            <w:pPr>
              <w:ind w:left="170"/>
            </w:pPr>
            <w:r>
              <w:rPr>
                <w:sz w:val="20"/>
              </w:rPr>
              <w:t>• услуги колл-центра в рабочее время Заказчика;</w:t>
            </w:r>
          </w:p>
          <w:p>
            <w:pPr>
              <w:ind w:left="170"/>
            </w:pPr>
            <w:r>
              <w:rPr>
                <w:sz w:val="20"/>
              </w:rPr>
              <w:t>• проверка системы на наличие вредоносного кода;</w:t>
            </w:r>
          </w:p>
          <w:p>
            <w:pPr>
              <w:ind w:left="170"/>
            </w:pPr>
            <w:r>
              <w:rPr>
                <w:sz w:val="20"/>
              </w:rPr>
              <w:t>• выпуск минорных доработок по запросу Заказчика (в рамках договора).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6"/>
              </w:rPr>
              <w:t>7 000 000 / год</w:t>
            </w:r>
          </w:p>
          <w:p>
            <w:pPr>
              <w:jc w:val="center"/>
            </w:pPr>
            <w:r>
              <w:rPr>
                <w:color w:val="1F4E79"/>
                <w:sz w:val="22"/>
              </w:rPr>
              <w:t>583 333,33 / месяц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6"/>
              </w:rPr>
              <w:t>8 120 000 / год</w:t>
            </w:r>
          </w:p>
          <w:p>
            <w:pPr>
              <w:jc w:val="center"/>
            </w:pPr>
            <w:r>
              <w:rPr>
                <w:color w:val="1F4E79"/>
                <w:sz w:val="22"/>
              </w:rPr>
              <w:t>676 666,67 / месяц</w:t>
            </w:r>
          </w:p>
        </w:tc>
      </w:tr>
      <w:tr>
        <w:tc>
          <w:tcPr>
            <w:tcW w:type="dxa" w:w="5102"/>
            <w:shd w:fill="EAF1F8"/>
          </w:tcPr>
          <w:p>
            <w:r>
              <w:rPr>
                <w:b/>
                <w:sz w:val="24"/>
              </w:rPr>
              <w:t>ИТОГО за первый год эксплуатации</w:t>
            </w:r>
          </w:p>
        </w:tc>
        <w:tc>
          <w:tcPr>
            <w:tcW w:type="dxa" w:w="2268"/>
            <w:shd w:fill="EAF1F8"/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6"/>
              </w:rPr>
              <w:t>7 000 000 тенге</w:t>
            </w:r>
          </w:p>
        </w:tc>
        <w:tc>
          <w:tcPr>
            <w:tcW w:type="dxa" w:w="2268"/>
            <w:shd w:fill="EAF1F8"/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6"/>
              </w:rPr>
              <w:t>8 120 000 тенге</w:t>
            </w:r>
          </w:p>
        </w:tc>
      </w:tr>
    </w:tbl>
    <w:p>
      <w:pPr>
        <w:jc w:val="both"/>
      </w:pPr>
      <w:r>
        <w:rPr>
          <w:b w:val="0"/>
          <w:i/>
          <w:color w:val="555555"/>
          <w:sz w:val="20"/>
        </w:rPr>
        <w:t>Условия размещения: Система устанавливается и эксплуатируется на серверной инфраструктуре Заказчика (On-Premise). Все данные нарядов, пользователей и ЭЦП остаются в периметре АО «Каражанбасмунай».</w:t>
      </w:r>
    </w:p>
    <w:p>
      <w:pPr>
        <w:spacing w:before="120" w:after="80"/>
        <w:jc w:val="left"/>
      </w:pPr>
      <w:r>
        <w:rPr>
          <w:b/>
          <w:color w:val="1F4E79"/>
          <w:sz w:val="26"/>
        </w:rPr>
        <w:t>5. Дополнительно (по опции)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r>
              <w:rPr>
                <w:b/>
                <w:color w:val="FFFFFF"/>
              </w:rPr>
              <w:t>Наименование</w:t>
            </w:r>
          </w:p>
        </w:tc>
        <w:tc>
          <w:tcPr>
            <w:tcW w:type="dxa" w:w="4986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Стоимость (без НДС), тенге</w:t>
            </w:r>
          </w:p>
        </w:tc>
      </w:tr>
      <w:tr>
        <w:tc>
          <w:tcPr>
            <w:tcW w:type="dxa" w:w="4986"/>
          </w:tcPr>
          <w:p>
            <w:r>
              <w:t>Промышленный планшет Samsung Galaxy Tab Active 5 (1 шт.)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t>500 000</w:t>
            </w:r>
          </w:p>
        </w:tc>
      </w:tr>
      <w:tr>
        <w:tc>
          <w:tcPr>
            <w:tcW w:type="dxa" w:w="4986"/>
          </w:tcPr>
          <w:p>
            <w:r>
              <w:t>Kaztoken NFC (носитель ЭЦП, 1 шт.)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t>16 000</w:t>
            </w:r>
          </w:p>
        </w:tc>
      </w:tr>
    </w:tbl>
    <w:p>
      <w:pPr>
        <w:spacing w:before="120" w:after="80"/>
        <w:jc w:val="left"/>
      </w:pPr>
      <w:r>
        <w:rPr>
          <w:b/>
          <w:color w:val="1F4E79"/>
          <w:sz w:val="26"/>
        </w:rPr>
        <w:t>6. Требования к серверной инфраструктуре Заказчика</w:t>
      </w:r>
    </w:p>
    <w:p>
      <w:pPr>
        <w:jc w:val="both"/>
      </w:pPr>
      <w:r>
        <w:rPr>
          <w:b w:val="0"/>
          <w:i w:val="0"/>
          <w:sz w:val="22"/>
        </w:rPr>
        <w:t>Для промышленной эксплуатации Системы (от 100 до 500 активных пользователей) рекомендуется следующая конфигурация сервера приложений + СУБД: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Параметр</w:t>
            </w:r>
          </w:p>
        </w:tc>
        <w:tc>
          <w:tcPr>
            <w:tcW w:type="dxa" w:w="33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Рекомендуется (Prod)</w:t>
            </w:r>
          </w:p>
        </w:tc>
        <w:tc>
          <w:tcPr>
            <w:tcW w:type="dxa" w:w="33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Минимум (пилот)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CPU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Intel Xeon / AMD EPYC, 8 vCPU @ 2.4 ГГц+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4 vCPU @ 2.0 ГГц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Оперативная память (RAM)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32 ГБ DDR4 ECC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8 ГБ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Дисковая подсистема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NVMe SSD 1 ТБ (RAID 1/10)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SSD 250 ГБ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Резервный диск / NAS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отдельный том ≥ 1 ТБ для бэкапов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внешний диск ≥ 500 ГБ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Операционная система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Ubuntu Server 22.04 LTS / RHEL 9 / Astra Linux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Ubuntu 22.04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Сеть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внутренняя 1 Гбит/с, доступ к NCALayer/SIGEX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100 Мбит/с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Доп. ПО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PostgreSQL 14+, Nginx, Gunicorn, Python 3.11+, Node.js 20+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— то же —</w:t>
            </w:r>
          </w:p>
        </w:tc>
      </w:tr>
    </w:tbl>
    <w:p>
      <w:pPr>
        <w:jc w:val="both"/>
      </w:pPr>
      <w:r>
        <w:rPr>
          <w:b w:val="0"/>
          <w:i/>
          <w:color w:val="555555"/>
          <w:sz w:val="20"/>
        </w:rPr>
        <w:t>Допускается развёртывание в виртуальной среде (VMware vSphere, Proxmox, KVM) или в частном облаке Заказчика. При необходимости отказоустойчивости — возможна установка в схеме «сервер приложений + выделенный сервер СУБД» (конфигурация уточняется на этапе проектирования).</w:t>
      </w:r>
    </w:p>
    <w:p>
      <w:pPr>
        <w:spacing w:before="120" w:after="80"/>
        <w:jc w:val="left"/>
      </w:pPr>
      <w:r>
        <w:rPr>
          <w:b/>
          <w:color w:val="1F4E79"/>
          <w:sz w:val="26"/>
        </w:rPr>
        <w:t>7. Сроки и условия</w:t>
      </w:r>
    </w:p>
    <w:p>
      <w:pPr>
        <w:pStyle w:val="ListBullet"/>
      </w:pPr>
      <w:r>
        <w:rPr>
          <w:sz w:val="22"/>
        </w:rPr>
        <w:t>Срок внедрения: 4–6 недель с момента подписания договора и предоставления Заказчиком серверных ресурсов.</w:t>
      </w:r>
    </w:p>
    <w:p>
      <w:pPr>
        <w:pStyle w:val="ListBullet"/>
      </w:pPr>
      <w:r>
        <w:rPr>
          <w:sz w:val="22"/>
        </w:rPr>
        <w:t>Гарантийная поддержка: 12 месяцев с момента подписания акта ввода в эксплуатацию — включено в стоимость.</w:t>
      </w:r>
    </w:p>
    <w:p>
      <w:pPr>
        <w:pStyle w:val="ListBullet"/>
      </w:pPr>
      <w:r>
        <w:rPr>
          <w:sz w:val="22"/>
        </w:rPr>
        <w:t>Срок действия настоящего коммерческого предложения: 30 (тридцать) календарных дней с даты подписания.</w:t>
      </w:r>
    </w:p>
    <w:p>
      <w:pPr>
        <w:pStyle w:val="ListBullet"/>
      </w:pPr>
      <w:r>
        <w:rPr>
          <w:sz w:val="22"/>
        </w:rPr>
        <w:t>Форма оплаты: безналичный расчёт, договор и счёт-фактура от [ТОО «___»].</w:t>
      </w:r>
    </w:p>
    <w:p>
      <w:pPr>
        <w:pStyle w:val="ListBullet"/>
      </w:pPr>
      <w:r>
        <w:rPr>
          <w:sz w:val="22"/>
        </w:rPr>
        <w:t>Условие бесплатного внедрения — заключение договора на годовое техническое сопровождение.</w:t>
      </w:r>
    </w:p>
    <w:p/>
    <w:p/>
    <w:p>
      <w:pPr>
        <w:jc w:val="left"/>
      </w:pPr>
      <w:r>
        <w:rPr>
          <w:b w:val="0"/>
          <w:i w:val="0"/>
          <w:sz w:val="22"/>
        </w:rPr>
        <w:t>С уважением,</w:t>
      </w:r>
    </w:p>
    <w:p/>
    <w:p/>
    <w:p>
      <w:pPr>
        <w:jc w:val="left"/>
      </w:pPr>
      <w:r>
        <w:rPr>
          <w:b w:val="0"/>
          <w:i w:val="0"/>
          <w:sz w:val="22"/>
        </w:rPr>
        <w:t>________________________</w:t>
      </w:r>
    </w:p>
    <w:p>
      <w:pPr>
        <w:jc w:val="left"/>
      </w:pPr>
      <w:r>
        <w:rPr>
          <w:b/>
          <w:i w:val="0"/>
          <w:sz w:val="22"/>
        </w:rPr>
        <w:t>[ФИО руководителя]</w:t>
      </w:r>
    </w:p>
    <w:p>
      <w:pPr>
        <w:jc w:val="left"/>
      </w:pPr>
      <w:r>
        <w:rPr>
          <w:b w:val="0"/>
          <w:i w:val="0"/>
          <w:color w:val="555555"/>
          <w:sz w:val="22"/>
        </w:rPr>
        <w:t>Директор [ТОО «___»]</w:t>
      </w:r>
    </w:p>
    <w:p>
      <w:pPr>
        <w:jc w:val="left"/>
      </w:pPr>
      <w:r>
        <w:rPr>
          <w:b w:val="0"/>
          <w:i w:val="0"/>
          <w:color w:val="555555"/>
          <w:sz w:val="20"/>
        </w:rPr>
        <w:t>Тел.: [+7 (___) ___-__-__]   E-mail: [___@___.kz]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