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7840BC">
      <w:pPr>
        <w:pStyle w:val="2"/>
      </w:pPr>
      <w:r>
        <w:t>项目申报书</w:t>
      </w:r>
    </w:p>
    <w:p w14:paraId="33011346">
      <w:pPr>
        <w:pStyle w:val="3"/>
      </w:pPr>
      <w:r>
        <w:t>1. 研究内容</w:t>
      </w:r>
    </w:p>
    <w:p w14:paraId="02CDC7EE">
      <w:pPr>
        <w:pStyle w:val="4"/>
      </w:pPr>
      <w:r>
        <w:t>1.1 技术路线</w:t>
      </w:r>
    </w:p>
    <w:p w14:paraId="655EDD31">
      <w:r>
        <w:t>本项目旨在通过模块化设计实现文档格式转换的核心功能，优先完成基础架构搭建与关键模块开发。首先定义统一的中间表示（IR）结构，作为不同文档格式转换的桥梁，确保数据解析与生成的一致性。</w:t>
      </w:r>
    </w:p>
    <w:p w14:paraId="6F5D5872">
      <w:r>
        <w:rPr>
          <w:rFonts w:hint="eastAsia" w:eastAsiaTheme="minorEastAsia"/>
          <w:lang w:eastAsia="zh-CN"/>
        </w:rPr>
        <w:drawing>
          <wp:inline distT="0" distB="0" distL="114300" distR="114300">
            <wp:extent cx="949960" cy="1202690"/>
            <wp:effectExtent l="0" t="0" r="15240" b="16510"/>
            <wp:docPr id="1" name="图片 1" descr="截屏2026-02-18 15.08.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6-02-18 15.08.2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4996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4155374">
      <w:pPr>
        <w:rPr>
          <w:rFonts w:hint="eastAsia" w:eastAsiaTheme="minorEastAsia"/>
          <w:lang w:eastAsia="zh-CN"/>
        </w:rPr>
      </w:pPr>
      <w:r>
        <w:t>在IR模块稳定后，分阶段开展docx和pdf格式的解析工作，docx模块重点处理document.xml中的文本与格式信息，pdf模块则计划采用OCR技术结合布局分析实现内容提取。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5DA9B313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A869A5">
            <w:pPr>
              <w:jc w:val="center"/>
              <w:rPr>
                <w:b/>
              </w:rPr>
            </w:pPr>
            <w:r>
              <w:rPr>
                <w:b/>
              </w:rPr>
              <w:t>模块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8B6252">
            <w:pPr>
              <w:jc w:val="center"/>
              <w:rPr>
                <w:b/>
              </w:rPr>
            </w:pPr>
            <w:r>
              <w:rPr>
                <w:b/>
              </w:rPr>
              <w:t>状态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8B2F12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06B31663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4D6C51">
            <w:r>
              <w:t>core/ir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092F90">
            <w:r>
              <w:t>完成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A3F916">
            <w:r>
              <w:t>定义文档中间表示（IR）的数据结构与转换规则，支持文本、图片、表格等元素的标准化存储</w:t>
            </w:r>
          </w:p>
        </w:tc>
      </w:tr>
      <w:tr w14:paraId="53CF3EFC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BBBF49">
            <w:r>
              <w:t>docx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D80997">
            <w:r>
              <w:t>进行中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93A091">
            <w:r>
              <w:t>解析docx文件的document.xml，提取段落、标题、列表等结构化内容，已完成文本提取，正在开发格式映射功能</w:t>
            </w:r>
          </w:p>
        </w:tc>
      </w:tr>
      <w:tr w14:paraId="3CCEC99A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E7A3F1">
            <w:r>
              <w:t>pdf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10DE0E">
            <w:r>
              <w:t>TODO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FE70DD">
            <w:r>
              <w:t>下一阶段重点任务，计划集成OCR引擎与PDF布局分析算法，实现扫描版与文本版PDF的内容识别与结构化转换</w:t>
            </w:r>
          </w:p>
        </w:tc>
      </w:tr>
      <w:tr w14:paraId="13454983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967B01">
            <w:r>
              <w:t>markdown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837238">
            <w:r>
              <w:t>规划中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5A09AE">
            <w:r>
              <w:t>基于IR生成符合CommonMark标准的Markdown文本，支持代码块、表格、图片引用等格式转换</w:t>
            </w:r>
          </w:p>
        </w:tc>
      </w:tr>
    </w:tbl>
    <w:p w14:paraId="31A36007">
      <w:r>
        <w:t>通过上述技术路线，将逐步构建从源文档解析到目标格式生成的完整转换链路，最终实现docx/pdf到Markdown的自动化转换，满足申报书快速整理的实际需求。</w:t>
      </w:r>
    </w:p>
    <w:p w14:paraId="138BDA0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FDB73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2026-02-18T15:06:47Z</dcterms:created>
  <dc:creator>Data</dc:creator>
  <cp:lastModifiedBy>时光</cp:lastModifiedBy>
  <dcterms:modified xsi:type="dcterms:W3CDTF">2026-02-18T15:10:04Z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AAE21F9FE5BA8F7ECC659569B81FBA55_42</vt:lpwstr>
  </property>
</Properties>
</file>