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7A8E" w:rsidRPr="00C90924" w:rsidRDefault="00597A8E" w:rsidP="00C855FA">
      <w:pPr>
        <w:pStyle w:val="a7"/>
        <w:numPr>
          <w:ilvl w:val="0"/>
          <w:numId w:val="1"/>
        </w:numPr>
        <w:ind w:firstLineChars="0"/>
        <w:rPr>
          <w:b/>
          <w:sz w:val="22"/>
        </w:rPr>
      </w:pPr>
      <w:r w:rsidRPr="00C90924">
        <w:rPr>
          <w:rFonts w:hint="eastAsia"/>
          <w:b/>
          <w:sz w:val="22"/>
        </w:rPr>
        <w:t>大致区域</w:t>
      </w:r>
    </w:p>
    <w:p w:rsidR="00DE2FB6" w:rsidRPr="00C90924" w:rsidRDefault="00DE2FB6" w:rsidP="00597A8E">
      <w:pPr>
        <w:ind w:firstLine="420"/>
      </w:pPr>
      <w:r w:rsidRPr="0018737B">
        <w:rPr>
          <w:rFonts w:hint="eastAsia"/>
          <w:b/>
        </w:rPr>
        <w:t>龙岗区、坪山区和大鹏新区</w:t>
      </w:r>
      <w:r w:rsidRPr="00C90924">
        <w:rPr>
          <w:rFonts w:hint="eastAsia"/>
        </w:rPr>
        <w:t>岩溶分布区可能发生</w:t>
      </w:r>
      <w:r w:rsidRPr="0018737B">
        <w:rPr>
          <w:rFonts w:hint="eastAsia"/>
          <w:b/>
        </w:rPr>
        <w:t>岩溶塌陷</w:t>
      </w:r>
      <w:r w:rsidRPr="00C90924">
        <w:rPr>
          <w:rFonts w:hint="eastAsia"/>
        </w:rPr>
        <w:t>地质灾害，</w:t>
      </w:r>
    </w:p>
    <w:p w:rsidR="00DE2FB6" w:rsidRPr="00C90924" w:rsidRDefault="00DE2FB6" w:rsidP="00597A8E">
      <w:pPr>
        <w:ind w:firstLine="420"/>
      </w:pPr>
      <w:r w:rsidRPr="0018737B">
        <w:rPr>
          <w:rFonts w:hint="eastAsia"/>
          <w:b/>
        </w:rPr>
        <w:t>宝安区、南山区局部软土</w:t>
      </w:r>
      <w:r w:rsidRPr="00C90924">
        <w:rPr>
          <w:rFonts w:hint="eastAsia"/>
        </w:rPr>
        <w:t>分布区存在发生</w:t>
      </w:r>
      <w:r w:rsidRPr="0018737B">
        <w:rPr>
          <w:rFonts w:hint="eastAsia"/>
          <w:b/>
        </w:rPr>
        <w:t>地面沉降</w:t>
      </w:r>
      <w:r w:rsidRPr="00C90924">
        <w:rPr>
          <w:rFonts w:hint="eastAsia"/>
        </w:rPr>
        <w:t>的可能。</w:t>
      </w:r>
    </w:p>
    <w:p w:rsidR="00DE2FB6" w:rsidRPr="00C90924" w:rsidRDefault="00C855FA" w:rsidP="00C855FA">
      <w:pPr>
        <w:pStyle w:val="a7"/>
        <w:numPr>
          <w:ilvl w:val="0"/>
          <w:numId w:val="1"/>
        </w:numPr>
        <w:ind w:firstLineChars="0"/>
        <w:rPr>
          <w:b/>
          <w:sz w:val="22"/>
        </w:rPr>
      </w:pPr>
      <w:r w:rsidRPr="00C90924">
        <w:rPr>
          <w:rFonts w:hint="eastAsia"/>
          <w:b/>
          <w:sz w:val="22"/>
        </w:rPr>
        <w:t>地质灾害易发区具体划分</w:t>
      </w:r>
    </w:p>
    <w:p w:rsidR="00C855FA" w:rsidRDefault="00C855FA" w:rsidP="00C855FA">
      <w:pPr>
        <w:ind w:firstLine="420"/>
      </w:pPr>
      <w:r>
        <w:rPr>
          <w:rFonts w:hint="eastAsia"/>
        </w:rPr>
        <w:t>结合已有地质灾害类型和发育程度将规划区划分为地质灾害高易发区</w:t>
      </w:r>
      <w:r>
        <w:t xml:space="preserve"> （A） 、 地质灾害中易发区 （B） 、</w:t>
      </w:r>
      <w:r>
        <w:rPr>
          <w:rFonts w:hint="eastAsia"/>
        </w:rPr>
        <w:t>地质灾害低易发区（</w:t>
      </w:r>
      <w:r>
        <w:t>C）及地质灾害不易发区（D）</w:t>
      </w:r>
      <w:r>
        <w:rPr>
          <w:rFonts w:hint="eastAsia"/>
        </w:rPr>
        <w:t>。</w:t>
      </w:r>
    </w:p>
    <w:p w:rsidR="00C855FA" w:rsidRPr="006A2379" w:rsidRDefault="00C855FA" w:rsidP="00C90924">
      <w:pPr>
        <w:rPr>
          <w:b/>
        </w:rPr>
      </w:pPr>
      <w:r w:rsidRPr="006A2379">
        <w:rPr>
          <w:rFonts w:hint="eastAsia"/>
          <w:b/>
        </w:rPr>
        <w:t>A．地质灾害高易发区</w:t>
      </w:r>
    </w:p>
    <w:p w:rsidR="00C855FA" w:rsidRDefault="00C855FA" w:rsidP="00C855FA">
      <w:pPr>
        <w:ind w:firstLine="420"/>
      </w:pPr>
      <w:r>
        <w:rPr>
          <w:rFonts w:hint="eastAsia"/>
        </w:rPr>
        <w:t>岩溶塌陷地质灾害高易发区（</w:t>
      </w:r>
      <w:r>
        <w:t>A2）分布于</w:t>
      </w:r>
      <w:r w:rsidRPr="00540886">
        <w:rPr>
          <w:b/>
        </w:rPr>
        <w:t>荷坳至</w:t>
      </w:r>
      <w:r w:rsidRPr="0018737B">
        <w:rPr>
          <w:b/>
        </w:rPr>
        <w:t>龙岗中心城</w:t>
      </w:r>
      <w:r w:rsidRPr="0018737B">
        <w:rPr>
          <w:rFonts w:hint="eastAsia"/>
          <w:b/>
        </w:rPr>
        <w:t>区、坑梓、坪山碧岭、石井咸水湖、葵涌等区域</w:t>
      </w:r>
      <w:r>
        <w:rPr>
          <w:rFonts w:hint="eastAsia"/>
        </w:rPr>
        <w:t>，面积</w:t>
      </w:r>
      <w:r>
        <w:t xml:space="preserve"> 21.16</w:t>
      </w:r>
      <w:r>
        <w:rPr>
          <w:rFonts w:hint="eastAsia"/>
        </w:rPr>
        <w:t>平方公里，占高易发区总面积的</w:t>
      </w:r>
      <w:r>
        <w:t xml:space="preserve"> 7.15%。</w:t>
      </w:r>
    </w:p>
    <w:p w:rsidR="00C855FA" w:rsidRPr="006A2379" w:rsidRDefault="00C855FA" w:rsidP="00C90924">
      <w:pPr>
        <w:rPr>
          <w:b/>
        </w:rPr>
      </w:pPr>
      <w:r w:rsidRPr="006A2379">
        <w:rPr>
          <w:rFonts w:hint="eastAsia"/>
          <w:b/>
        </w:rPr>
        <w:t>B</w:t>
      </w:r>
      <w:r w:rsidR="00D46E8F" w:rsidRPr="006A2379">
        <w:rPr>
          <w:rFonts w:hint="eastAsia"/>
          <w:b/>
        </w:rPr>
        <w:t>．地质灾害低</w:t>
      </w:r>
      <w:r w:rsidRPr="006A2379">
        <w:rPr>
          <w:rFonts w:hint="eastAsia"/>
          <w:b/>
        </w:rPr>
        <w:t>易发区</w:t>
      </w:r>
    </w:p>
    <w:p w:rsidR="00C855FA" w:rsidRDefault="00C855FA" w:rsidP="00C855FA">
      <w:pPr>
        <w:ind w:firstLine="420"/>
      </w:pPr>
      <w:r>
        <w:rPr>
          <w:rFonts w:hint="eastAsia"/>
        </w:rPr>
        <w:t>岩溶塌陷地质灾害中易发区</w:t>
      </w:r>
      <w:r>
        <w:t xml:space="preserve"> （B2） 分布于</w:t>
      </w:r>
      <w:r w:rsidRPr="0018737B">
        <w:rPr>
          <w:b/>
        </w:rPr>
        <w:t>横岗茜坑—山仔吓、</w:t>
      </w:r>
      <w:r w:rsidRPr="0018737B">
        <w:rPr>
          <w:rFonts w:hint="eastAsia"/>
          <w:b/>
        </w:rPr>
        <w:t>龙岗赤石岗—底下田、</w:t>
      </w:r>
      <w:r w:rsidRPr="0018737B">
        <w:rPr>
          <w:b/>
        </w:rPr>
        <w:t xml:space="preserve"> 坪地、 坑梓、 坪山碧岭—汤坑</w:t>
      </w:r>
      <w:r>
        <w:t>， 面积 33.03</w:t>
      </w:r>
      <w:r>
        <w:rPr>
          <w:rFonts w:hint="eastAsia"/>
        </w:rPr>
        <w:t>平方公里，占中易发区总面积的</w:t>
      </w:r>
      <w:r>
        <w:t xml:space="preserve"> 7.11%。 </w:t>
      </w:r>
      <w:r>
        <w:rPr>
          <w:rFonts w:hint="eastAsia"/>
        </w:rPr>
        <w:t>地面沉降地质灾害中易发区（</w:t>
      </w:r>
      <w:r>
        <w:t>B3）分布于</w:t>
      </w:r>
      <w:r w:rsidRPr="0018737B">
        <w:rPr>
          <w:b/>
        </w:rPr>
        <w:t>宝安区西部沿海、</w:t>
      </w:r>
      <w:r w:rsidRPr="0018737B">
        <w:rPr>
          <w:rFonts w:hint="eastAsia"/>
          <w:b/>
        </w:rPr>
        <w:t>南山区后海一带</w:t>
      </w:r>
      <w:r>
        <w:rPr>
          <w:rFonts w:hint="eastAsia"/>
        </w:rPr>
        <w:t>，面积</w:t>
      </w:r>
      <w:r>
        <w:t xml:space="preserve"> 41.74 平方公里，占中易发区总面积的8.99%。</w:t>
      </w:r>
    </w:p>
    <w:p w:rsidR="00C90924" w:rsidRPr="00900338" w:rsidRDefault="00C90924" w:rsidP="00C90924">
      <w:pPr>
        <w:pStyle w:val="a7"/>
        <w:numPr>
          <w:ilvl w:val="0"/>
          <w:numId w:val="1"/>
        </w:numPr>
        <w:ind w:firstLineChars="0"/>
        <w:rPr>
          <w:b/>
          <w:sz w:val="22"/>
        </w:rPr>
      </w:pPr>
      <w:r w:rsidRPr="00900338">
        <w:rPr>
          <w:rFonts w:hint="eastAsia"/>
          <w:b/>
          <w:sz w:val="22"/>
        </w:rPr>
        <w:t>资金筹措</w:t>
      </w:r>
    </w:p>
    <w:p w:rsidR="00900338" w:rsidRDefault="003D7ED2" w:rsidP="00C90924">
      <w:pPr>
        <w:ind w:firstLine="420"/>
      </w:pPr>
      <w:r>
        <w:t>…</w:t>
      </w:r>
      <w:r w:rsidR="00C90924">
        <w:rPr>
          <w:rFonts w:hint="eastAsia"/>
        </w:rPr>
        <w:t>合理安排本辖区年度地质灾害防治方案编制、地质灾害群测群防体系建设、地质灾害隐患点排查登记、</w:t>
      </w:r>
      <w:r w:rsidR="00C90924" w:rsidRPr="003D7ED2">
        <w:rPr>
          <w:rFonts w:hint="eastAsia"/>
          <w:b/>
        </w:rPr>
        <w:t>日常巡查、专业监测、工程治理及后续维护管养、信息化建设等经费</w:t>
      </w:r>
      <w:r w:rsidR="00C90924">
        <w:rPr>
          <w:rFonts w:hint="eastAsia"/>
        </w:rPr>
        <w:t>，确保政府责任的地质灾害隐患点监测预防和工程治理落到实处；督促开发商、业主或物业管理单位等非政府责任单位落实地质灾害隐患点监测预防措施和工程治理项目。</w:t>
      </w:r>
    </w:p>
    <w:p w:rsidR="00C93D39" w:rsidRDefault="00C93D39" w:rsidP="00C93D39"/>
    <w:p w:rsidR="00C93D39" w:rsidRDefault="00C93D39" w:rsidP="00C93D39"/>
    <w:p w:rsidR="00C93D39" w:rsidRDefault="00C93D39" w:rsidP="00C93D39">
      <w:pPr>
        <w:rPr>
          <w:rFonts w:hint="eastAsia"/>
        </w:rPr>
      </w:pPr>
      <w:r>
        <w:rPr>
          <w:rFonts w:hint="eastAsia"/>
        </w:rPr>
        <w:t>也要考虑房地产商</w:t>
      </w:r>
      <w:r w:rsidRPr="005F6D94">
        <w:rPr>
          <w:rFonts w:hint="eastAsia"/>
          <w:highlight w:val="yellow"/>
        </w:rPr>
        <w:t>处理软地基方式</w:t>
      </w:r>
      <w:bookmarkStart w:id="0" w:name="_GoBack"/>
      <w:bookmarkEnd w:id="0"/>
      <w:r>
        <w:rPr>
          <w:rFonts w:hint="eastAsia"/>
        </w:rPr>
        <w:t>、房屋</w:t>
      </w:r>
      <w:r w:rsidRPr="005F6D94">
        <w:rPr>
          <w:rFonts w:hint="eastAsia"/>
          <w:highlight w:val="yellow"/>
        </w:rPr>
        <w:t>建筑材料</w:t>
      </w:r>
      <w:r w:rsidR="005F6D94">
        <w:rPr>
          <w:rFonts w:hint="eastAsia"/>
          <w:highlight w:val="yellow"/>
        </w:rPr>
        <w:t>【海沙</w:t>
      </w:r>
      <w:r w:rsidR="007E4D04">
        <w:rPr>
          <w:rFonts w:hint="eastAsia"/>
          <w:highlight w:val="yellow"/>
        </w:rPr>
        <w:t>or河沙？</w:t>
      </w:r>
      <w:r w:rsidR="005F6D94">
        <w:rPr>
          <w:rFonts w:hint="eastAsia"/>
          <w:highlight w:val="yellow"/>
        </w:rPr>
        <w:t>】</w:t>
      </w:r>
      <w:r>
        <w:rPr>
          <w:rFonts w:hint="eastAsia"/>
        </w:rPr>
        <w:t>对于房屋沉降的影响。</w:t>
      </w:r>
    </w:p>
    <w:p w:rsidR="00900338" w:rsidRDefault="00900338">
      <w:pPr>
        <w:widowControl/>
        <w:jc w:val="left"/>
      </w:pPr>
      <w:r>
        <w:br w:type="page"/>
      </w:r>
    </w:p>
    <w:p w:rsidR="00AC6593" w:rsidRDefault="00AC6593" w:rsidP="00C855FA">
      <w:r>
        <w:lastRenderedPageBreak/>
        <w:t>P8/48</w:t>
      </w:r>
    </w:p>
    <w:p w:rsidR="00E41419" w:rsidRDefault="00AC6593">
      <w:r>
        <w:rPr>
          <w:noProof/>
        </w:rPr>
        <w:drawing>
          <wp:inline distT="0" distB="0" distL="0" distR="0" wp14:anchorId="529314AD" wp14:editId="07068407">
            <wp:extent cx="5274310" cy="10515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051560"/>
                    </a:xfrm>
                    <a:prstGeom prst="rect">
                      <a:avLst/>
                    </a:prstGeom>
                  </pic:spPr>
                </pic:pic>
              </a:graphicData>
            </a:graphic>
          </wp:inline>
        </w:drawing>
      </w:r>
    </w:p>
    <w:p w:rsidR="00AC6593" w:rsidRDefault="00AC6593">
      <w:r>
        <w:rPr>
          <w:rFonts w:hint="eastAsia"/>
        </w:rPr>
        <w:t>P</w:t>
      </w:r>
      <w:r>
        <w:t>9/48</w:t>
      </w:r>
    </w:p>
    <w:p w:rsidR="00900338" w:rsidRDefault="00AC6593">
      <w:r>
        <w:rPr>
          <w:noProof/>
        </w:rPr>
        <w:drawing>
          <wp:inline distT="0" distB="0" distL="0" distR="0" wp14:anchorId="1924DC5A" wp14:editId="3B20D503">
            <wp:extent cx="5274310" cy="25514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551430"/>
                    </a:xfrm>
                    <a:prstGeom prst="rect">
                      <a:avLst/>
                    </a:prstGeom>
                  </pic:spPr>
                </pic:pic>
              </a:graphicData>
            </a:graphic>
          </wp:inline>
        </w:drawing>
      </w:r>
    </w:p>
    <w:p w:rsidR="00900338" w:rsidRDefault="00900338">
      <w:pPr>
        <w:widowControl/>
        <w:jc w:val="left"/>
      </w:pPr>
      <w:r>
        <w:br w:type="page"/>
      </w:r>
    </w:p>
    <w:p w:rsidR="00AC6593" w:rsidRDefault="00AC6593"/>
    <w:p w:rsidR="00AC6593" w:rsidRDefault="00AC6593">
      <w:r>
        <w:t>P15/48</w:t>
      </w:r>
    </w:p>
    <w:p w:rsidR="00AC6593" w:rsidRDefault="00AC6593">
      <w:r>
        <w:rPr>
          <w:noProof/>
        </w:rPr>
        <w:drawing>
          <wp:inline distT="0" distB="0" distL="0" distR="0" wp14:anchorId="33BA7545" wp14:editId="0B862DE0">
            <wp:extent cx="5274310" cy="47713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771390"/>
                    </a:xfrm>
                    <a:prstGeom prst="rect">
                      <a:avLst/>
                    </a:prstGeom>
                  </pic:spPr>
                </pic:pic>
              </a:graphicData>
            </a:graphic>
          </wp:inline>
        </w:drawing>
      </w:r>
    </w:p>
    <w:p w:rsidR="00900338" w:rsidRDefault="00900338">
      <w:pPr>
        <w:widowControl/>
        <w:jc w:val="left"/>
      </w:pPr>
      <w:r>
        <w:br w:type="page"/>
      </w:r>
    </w:p>
    <w:p w:rsidR="00AC6593" w:rsidRDefault="00AC6593">
      <w:r>
        <w:rPr>
          <w:rFonts w:hint="eastAsia"/>
        </w:rPr>
        <w:lastRenderedPageBreak/>
        <w:t>P</w:t>
      </w:r>
      <w:r w:rsidR="00C855FA">
        <w:t>19</w:t>
      </w:r>
      <w:r>
        <w:t>/48</w:t>
      </w:r>
    </w:p>
    <w:p w:rsidR="00AC6593" w:rsidRDefault="00AC6593">
      <w:r>
        <w:rPr>
          <w:noProof/>
        </w:rPr>
        <w:drawing>
          <wp:inline distT="0" distB="0" distL="0" distR="0" wp14:anchorId="03AA29BA" wp14:editId="39D05855">
            <wp:extent cx="5274310" cy="63887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6388735"/>
                    </a:xfrm>
                    <a:prstGeom prst="rect">
                      <a:avLst/>
                    </a:prstGeom>
                  </pic:spPr>
                </pic:pic>
              </a:graphicData>
            </a:graphic>
          </wp:inline>
        </w:drawing>
      </w:r>
    </w:p>
    <w:p w:rsidR="00900338" w:rsidRDefault="00900338">
      <w:pPr>
        <w:widowControl/>
        <w:jc w:val="left"/>
      </w:pPr>
      <w:r>
        <w:br w:type="page"/>
      </w:r>
    </w:p>
    <w:p w:rsidR="00AC6593" w:rsidRDefault="00900338">
      <w:r>
        <w:lastRenderedPageBreak/>
        <w:t>P</w:t>
      </w:r>
      <w:r>
        <w:rPr>
          <w:rFonts w:hint="eastAsia"/>
        </w:rPr>
        <w:t>43/48</w:t>
      </w:r>
    </w:p>
    <w:p w:rsidR="00900338" w:rsidRDefault="00900338">
      <w:r>
        <w:rPr>
          <w:noProof/>
        </w:rPr>
        <w:drawing>
          <wp:inline distT="0" distB="0" distL="0" distR="0" wp14:anchorId="27E38B97" wp14:editId="053EC518">
            <wp:extent cx="5274310" cy="458343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583430"/>
                    </a:xfrm>
                    <a:prstGeom prst="rect">
                      <a:avLst/>
                    </a:prstGeom>
                  </pic:spPr>
                </pic:pic>
              </a:graphicData>
            </a:graphic>
          </wp:inline>
        </w:drawing>
      </w:r>
    </w:p>
    <w:sectPr w:rsidR="009003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10F0" w:rsidRDefault="002110F0" w:rsidP="00AC6593">
      <w:r>
        <w:separator/>
      </w:r>
    </w:p>
  </w:endnote>
  <w:endnote w:type="continuationSeparator" w:id="0">
    <w:p w:rsidR="002110F0" w:rsidRDefault="002110F0" w:rsidP="00AC6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10F0" w:rsidRDefault="002110F0" w:rsidP="00AC6593">
      <w:r>
        <w:separator/>
      </w:r>
    </w:p>
  </w:footnote>
  <w:footnote w:type="continuationSeparator" w:id="0">
    <w:p w:rsidR="002110F0" w:rsidRDefault="002110F0" w:rsidP="00AC659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380867"/>
    <w:multiLevelType w:val="hybridMultilevel"/>
    <w:tmpl w:val="EA4613EC"/>
    <w:lvl w:ilvl="0" w:tplc="8BFE321C">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9B7"/>
    <w:rsid w:val="000B1DBE"/>
    <w:rsid w:val="0018737B"/>
    <w:rsid w:val="002110F0"/>
    <w:rsid w:val="003447DF"/>
    <w:rsid w:val="003D7ED2"/>
    <w:rsid w:val="00540886"/>
    <w:rsid w:val="00597A8E"/>
    <w:rsid w:val="005F6D94"/>
    <w:rsid w:val="006A2379"/>
    <w:rsid w:val="007E4D04"/>
    <w:rsid w:val="00816DF8"/>
    <w:rsid w:val="00900338"/>
    <w:rsid w:val="00AC6593"/>
    <w:rsid w:val="00C855FA"/>
    <w:rsid w:val="00C90924"/>
    <w:rsid w:val="00C93D39"/>
    <w:rsid w:val="00D46E8F"/>
    <w:rsid w:val="00DE2FB6"/>
    <w:rsid w:val="00E049B7"/>
    <w:rsid w:val="00E41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EFB34B"/>
  <w15:chartTrackingRefBased/>
  <w15:docId w15:val="{2274DF4D-9168-47FF-A0E7-AE5A5B9EA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659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C6593"/>
    <w:rPr>
      <w:sz w:val="18"/>
      <w:szCs w:val="18"/>
    </w:rPr>
  </w:style>
  <w:style w:type="paragraph" w:styleId="a5">
    <w:name w:val="footer"/>
    <w:basedOn w:val="a"/>
    <w:link w:val="a6"/>
    <w:uiPriority w:val="99"/>
    <w:unhideWhenUsed/>
    <w:rsid w:val="00AC6593"/>
    <w:pPr>
      <w:tabs>
        <w:tab w:val="center" w:pos="4153"/>
        <w:tab w:val="right" w:pos="8306"/>
      </w:tabs>
      <w:snapToGrid w:val="0"/>
      <w:jc w:val="left"/>
    </w:pPr>
    <w:rPr>
      <w:sz w:val="18"/>
      <w:szCs w:val="18"/>
    </w:rPr>
  </w:style>
  <w:style w:type="character" w:customStyle="1" w:styleId="a6">
    <w:name w:val="页脚 字符"/>
    <w:basedOn w:val="a0"/>
    <w:link w:val="a5"/>
    <w:uiPriority w:val="99"/>
    <w:rsid w:val="00AC6593"/>
    <w:rPr>
      <w:sz w:val="18"/>
      <w:szCs w:val="18"/>
    </w:rPr>
  </w:style>
  <w:style w:type="paragraph" w:styleId="a7">
    <w:name w:val="List Paragraph"/>
    <w:basedOn w:val="a"/>
    <w:uiPriority w:val="34"/>
    <w:qFormat/>
    <w:rsid w:val="00C855F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98</Words>
  <Characters>560</Characters>
  <Application>Microsoft Office Word</Application>
  <DocSecurity>0</DocSecurity>
  <Lines>4</Lines>
  <Paragraphs>1</Paragraphs>
  <ScaleCrop>false</ScaleCrop>
  <Company>LG</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ZIv</dc:creator>
  <cp:keywords/>
  <dc:description/>
  <cp:lastModifiedBy>Wang ZIv</cp:lastModifiedBy>
  <cp:revision>16</cp:revision>
  <dcterms:created xsi:type="dcterms:W3CDTF">2021-03-02T02:48:00Z</dcterms:created>
  <dcterms:modified xsi:type="dcterms:W3CDTF">2021-03-04T07:01:00Z</dcterms:modified>
</cp:coreProperties>
</file>