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6765"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2C73" w:rsidRPr="00B56765" w:rsidRDefault="009C2E00" w:rsidP="009A2C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April </w:t>
      </w:r>
      <w:r w:rsidR="009A2C73" w:rsidRPr="00B56765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2C73" w:rsidRP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2C73"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 w:rsidRPr="009A2C73"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65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9A2C73" w:rsidRDefault="009A2C73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You are provided with this advance information to enable you to read, understand and action</w:t>
      </w:r>
      <w:r w:rsidR="00FD38A0">
        <w:rPr>
          <w:rFonts w:ascii="Times New Roman" w:hAnsi="Times New Roman" w:cs="Times New Roman"/>
        </w:rPr>
        <w:t>,</w:t>
      </w:r>
      <w:r w:rsidRPr="009A2C73">
        <w:rPr>
          <w:rFonts w:ascii="Times New Roman" w:hAnsi="Times New Roman" w:cs="Times New Roman"/>
        </w:rPr>
        <w:t xml:space="preserve"> in your own time, and not under examination conditions. </w:t>
      </w:r>
    </w:p>
    <w:p w:rsidR="00CB7171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This instruction sheet provides you with </w:t>
      </w:r>
      <w:r w:rsidR="009C2E00">
        <w:rPr>
          <w:rFonts w:ascii="Times New Roman" w:hAnsi="Times New Roman" w:cs="Times New Roman"/>
        </w:rPr>
        <w:t>two</w:t>
      </w:r>
      <w:r w:rsidRPr="009A2C73">
        <w:rPr>
          <w:rFonts w:ascii="Times New Roman" w:hAnsi="Times New Roman" w:cs="Times New Roman"/>
        </w:rPr>
        <w:t xml:space="preserve"> data file</w:t>
      </w:r>
      <w:r w:rsidR="009C2E00">
        <w:rPr>
          <w:rFonts w:ascii="Times New Roman" w:hAnsi="Times New Roman" w:cs="Times New Roman"/>
        </w:rPr>
        <w:t>s</w:t>
      </w:r>
      <w:r w:rsidRPr="009A2C73">
        <w:rPr>
          <w:rFonts w:ascii="Times New Roman" w:hAnsi="Times New Roman" w:cs="Times New Roman"/>
        </w:rPr>
        <w:t xml:space="preserve"> for you to use in the examination:</w:t>
      </w:r>
    </w:p>
    <w:p w:rsidR="009C2E00" w:rsidRPr="009C2E00" w:rsidRDefault="009C2E00">
      <w:pPr>
        <w:rPr>
          <w:rFonts w:ascii="Times New Roman" w:hAnsi="Times New Roman" w:cs="Times New Roman"/>
        </w:rPr>
      </w:pPr>
      <w:r w:rsidRPr="009C2E00">
        <w:rPr>
          <w:rFonts w:ascii="Times New Roman" w:hAnsi="Times New Roman" w:cs="Times New Roman"/>
        </w:rPr>
        <w:t xml:space="preserve">BinaryTrain.RData </w:t>
      </w:r>
    </w:p>
    <w:p w:rsidR="009C2E00" w:rsidRPr="009A2C73" w:rsidRDefault="009C2E00">
      <w:pPr>
        <w:rPr>
          <w:rFonts w:ascii="Times New Roman" w:hAnsi="Times New Roman" w:cs="Times New Roman"/>
        </w:rPr>
      </w:pPr>
      <w:r w:rsidRPr="009C2E00">
        <w:rPr>
          <w:rFonts w:ascii="Times New Roman" w:hAnsi="Times New Roman" w:cs="Times New Roman"/>
        </w:rPr>
        <w:t>CS1passenger.RData</w:t>
      </w:r>
    </w:p>
    <w:p w:rsidR="00CB7171" w:rsidRPr="009A2C73" w:rsidRDefault="009C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</w:t>
      </w:r>
      <w:r w:rsidR="00CF6E16" w:rsidRPr="009A2C73">
        <w:rPr>
          <w:rFonts w:ascii="Times New Roman" w:hAnsi="Times New Roman" w:cs="Times New Roman"/>
        </w:rPr>
        <w:t xml:space="preserve"> data file</w:t>
      </w:r>
      <w:r>
        <w:rPr>
          <w:rFonts w:ascii="Times New Roman" w:hAnsi="Times New Roman" w:cs="Times New Roman"/>
        </w:rPr>
        <w:t>s</w:t>
      </w:r>
      <w:r w:rsidR="00CF6E16" w:rsidRPr="009A2C73">
        <w:rPr>
          <w:rFonts w:ascii="Times New Roman" w:hAnsi="Times New Roman" w:cs="Times New Roman"/>
        </w:rPr>
        <w:t xml:space="preserve"> need to be loaded into R by first saving </w:t>
      </w:r>
      <w:r>
        <w:rPr>
          <w:rFonts w:ascii="Times New Roman" w:hAnsi="Times New Roman" w:cs="Times New Roman"/>
        </w:rPr>
        <w:t>them</w:t>
      </w:r>
      <w:r w:rsidR="00CF6E16" w:rsidRPr="009A2C73">
        <w:rPr>
          <w:rFonts w:ascii="Times New Roman" w:hAnsi="Times New Roman" w:cs="Times New Roman"/>
        </w:rPr>
        <w:t xml:space="preserve"> onto the computer you are going to be using in the examination. Once you have completed this then you need to load the data into R ready for use during the examination. </w:t>
      </w:r>
    </w:p>
    <w:p w:rsidR="00463A7C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Further guidance on how to do this can be found in “</w:t>
      </w:r>
      <w:r w:rsidR="00FD38A0">
        <w:rPr>
          <w:rFonts w:ascii="Times New Roman" w:hAnsi="Times New Roman" w:cs="Times New Roman"/>
        </w:rPr>
        <w:t>CS1 and CS2 examination guide</w:t>
      </w:r>
      <w:r w:rsidRPr="009A2C73">
        <w:rPr>
          <w:rFonts w:ascii="Times New Roman" w:hAnsi="Times New Roman" w:cs="Times New Roman"/>
        </w:rPr>
        <w:t xml:space="preserve">” on the </w:t>
      </w:r>
      <w:hyperlink r:id="rId6" w:history="1">
        <w:r w:rsidRPr="009A2C73">
          <w:rPr>
            <w:rStyle w:val="Hyperlink"/>
            <w:rFonts w:ascii="Times New Roman" w:hAnsi="Times New Roman" w:cs="Times New Roman"/>
          </w:rPr>
          <w:t>website</w:t>
        </w:r>
      </w:hyperlink>
    </w:p>
    <w:p w:rsidR="00CB7171" w:rsidRPr="009A2C73" w:rsidRDefault="00CB7171">
      <w:pPr>
        <w:rPr>
          <w:rFonts w:ascii="Times New Roman" w:hAnsi="Times New Roman" w:cs="Times New Roman"/>
        </w:rPr>
      </w:pP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To test </w:t>
      </w:r>
      <w:r w:rsidR="009C2E00">
        <w:rPr>
          <w:rFonts w:ascii="Times New Roman" w:hAnsi="Times New Roman" w:cs="Times New Roman"/>
        </w:rPr>
        <w:t xml:space="preserve">that </w:t>
      </w:r>
      <w:r w:rsidRPr="009A2C73">
        <w:rPr>
          <w:rFonts w:ascii="Times New Roman" w:hAnsi="Times New Roman" w:cs="Times New Roman"/>
        </w:rPr>
        <w:t>you have successfully loaded the required R Packages</w:t>
      </w:r>
      <w:r w:rsidR="009C2E00">
        <w:rPr>
          <w:rFonts w:ascii="Times New Roman" w:hAnsi="Times New Roman" w:cs="Times New Roman"/>
        </w:rPr>
        <w:t>,</w:t>
      </w:r>
      <w:r w:rsidRPr="009A2C73">
        <w:rPr>
          <w:rFonts w:ascii="Times New Roman" w:hAnsi="Times New Roman" w:cs="Times New Roman"/>
        </w:rPr>
        <w:t xml:space="preserve"> run the following codes in order within R:</w:t>
      </w: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Code:</w:t>
      </w:r>
    </w:p>
    <w:p w:rsidR="00CB7171" w:rsidRDefault="00CF6E16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:rsidR="00463A7C" w:rsidRPr="009A2C73" w:rsidRDefault="00463A7C"/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If these are completed with no error the four packages are successfully installed.</w:t>
      </w:r>
      <w:r w:rsidR="004B49CF" w:rsidRPr="009A2C73">
        <w:rPr>
          <w:rFonts w:ascii="Times New Roman" w:hAnsi="Times New Roman" w:cs="Times New Roman"/>
        </w:rPr>
        <w:t xml:space="preserve"> Further guidance on the packages needed can be found in </w:t>
      </w:r>
      <w:hyperlink r:id="rId7" w:history="1">
        <w:r w:rsidR="00FD38A0">
          <w:rPr>
            <w:rStyle w:val="Hyperlink"/>
            <w:rFonts w:ascii="Times New Roman" w:hAnsi="Times New Roman" w:cs="Times New Roman"/>
          </w:rPr>
          <w:t>CS1 and CS2 examination guide</w:t>
        </w:r>
      </w:hyperlink>
      <w:r w:rsidR="004B49CF" w:rsidRPr="009A2C73">
        <w:rPr>
          <w:rFonts w:ascii="Times New Roman" w:hAnsi="Times New Roman" w:cs="Times New Roman"/>
        </w:rPr>
        <w:t xml:space="preserve"> on the website.</w:t>
      </w: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If you encounter any issues, please contact the </w:t>
      </w:r>
      <w:r w:rsidR="00FD38A0">
        <w:rPr>
          <w:rFonts w:ascii="Times New Roman" w:hAnsi="Times New Roman" w:cs="Times New Roman"/>
        </w:rPr>
        <w:t>Assessment</w:t>
      </w:r>
      <w:r w:rsidR="00FD38A0" w:rsidRPr="009A2C73">
        <w:rPr>
          <w:rFonts w:ascii="Times New Roman" w:hAnsi="Times New Roman" w:cs="Times New Roman"/>
        </w:rPr>
        <w:t xml:space="preserve"> </w:t>
      </w:r>
      <w:r w:rsidRPr="009A2C73">
        <w:rPr>
          <w:rFonts w:ascii="Times New Roman" w:hAnsi="Times New Roman" w:cs="Times New Roman"/>
        </w:rPr>
        <w:t>Team on +44 (0) 1865 268873</w:t>
      </w:r>
    </w:p>
    <w:p w:rsidR="00CB7171" w:rsidRDefault="00CB7171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56765"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:rsidR="00463A7C" w:rsidRDefault="00463A7C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B7171" w:rsidRPr="009A2C73" w:rsidRDefault="009C2E00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CS1B A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>202</w:t>
      </w:r>
      <w:r>
        <w:rPr>
          <w:rFonts w:ascii="Times New Roman" w:hAnsi="Times New Roman" w:cs="Times New Roman"/>
          <w:bCs/>
          <w:iCs/>
          <w:sz w:val="24"/>
        </w:rPr>
        <w:t>1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 xml:space="preserve"> 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770A4C" w:rsidRP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>© Institute and Faculty of Actuaries</w:t>
      </w:r>
    </w:p>
    <w:sectPr w:rsidR="00CB7171" w:rsidRPr="009A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A6" w:rsidRDefault="00E579A6">
      <w:pPr>
        <w:spacing w:after="0" w:line="240" w:lineRule="auto"/>
      </w:pPr>
      <w:r>
        <w:separator/>
      </w:r>
    </w:p>
  </w:endnote>
  <w:endnote w:type="continuationSeparator" w:id="0">
    <w:p w:rsidR="00E579A6" w:rsidRDefault="00E5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A6" w:rsidRDefault="00E579A6">
      <w:pPr>
        <w:spacing w:after="0" w:line="240" w:lineRule="auto"/>
      </w:pPr>
      <w:r>
        <w:separator/>
      </w:r>
    </w:p>
  </w:footnote>
  <w:footnote w:type="continuationSeparator" w:id="0">
    <w:p w:rsidR="00E579A6" w:rsidRDefault="00E57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71"/>
    <w:rsid w:val="00463A7C"/>
    <w:rsid w:val="004B49CF"/>
    <w:rsid w:val="00500E10"/>
    <w:rsid w:val="00587F86"/>
    <w:rsid w:val="00770A4C"/>
    <w:rsid w:val="007B40DE"/>
    <w:rsid w:val="00966ED1"/>
    <w:rsid w:val="009A2C73"/>
    <w:rsid w:val="009C2E00"/>
    <w:rsid w:val="00CB7171"/>
    <w:rsid w:val="00CF6E16"/>
    <w:rsid w:val="00E579A6"/>
    <w:rsid w:val="00F86C2D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98C34-3269-463B-A33D-926B160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tuaries.org.uk/system/files/field/document/CS1%20and%20CS2%20Guide%20Jul%2020%20sh%20updat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Serrano Gomez</dc:creator>
  <cp:lastModifiedBy>Melanie Fryatt</cp:lastModifiedBy>
  <cp:revision>5</cp:revision>
  <dcterms:created xsi:type="dcterms:W3CDTF">2021-03-03T11:44:00Z</dcterms:created>
  <dcterms:modified xsi:type="dcterms:W3CDTF">2021-04-01T08:01:00Z</dcterms:modified>
</cp:coreProperties>
</file>