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0918" w14:textId="77777777" w:rsidR="00226DD6" w:rsidRDefault="00226DD6" w:rsidP="00226DD6">
      <w:r>
        <w:t>Tech Stack</w:t>
      </w:r>
    </w:p>
    <w:p w14:paraId="14DC87D5" w14:textId="77777777" w:rsidR="00226DD6" w:rsidRDefault="00226DD6" w:rsidP="00226DD6">
      <w:r>
        <w:t>deck.gl over raw Three.js — GPU instancing handles 12,000+ HDB buildings at 60fps without manual culling. ScenegraphLayer renders glTF models with a single getFillColor accessor for the vacancy colour map.</w:t>
      </w:r>
    </w:p>
    <w:p w14:paraId="6B53AD00" w14:textId="77777777" w:rsidR="00226DD6" w:rsidRDefault="00226DD6" w:rsidP="00226DD6">
      <w:r>
        <w:t>FastAPI + Celery + Redis — async WebSocket fan-out + offloaded simulation ticks in one coherent Python stack. NumPy vectorises the yearly birth/death/move calculations across all buildings in milliseconds.</w:t>
      </w:r>
    </w:p>
    <w:p w14:paraId="0420C2CD" w14:textId="77777777" w:rsidR="00226DD6" w:rsidRDefault="00226DD6" w:rsidP="00226DD6">
      <w:r>
        <w:t>PostgreSQL + PostGIS — spatial neighbour queries for "which flats are nearby" in the move logic; JSONB for variable-length yearly event logs per session.</w:t>
      </w:r>
    </w:p>
    <w:p w14:paraId="77DDF83A" w14:textId="77777777" w:rsidR="00226DD6" w:rsidRDefault="00226DD6" w:rsidP="00226DD6">
      <w:r>
        <w:t>Cloud Run on GCP — scales to zero between sessions, estimated ~$65–90/month at medium traffic. Dominant cost is Memorystore Redis; Upstash is a cheaper serverless alternative.</w:t>
      </w:r>
    </w:p>
    <w:p w14:paraId="1988CD65" w14:textId="77777777" w:rsidR="00226DD6" w:rsidRDefault="00226DD6" w:rsidP="00226DD6">
      <w:r>
        <w:t>20 tasks across 4 phases, no task longer than 2 days. MVP (P1+P2: 3D map + live simulation) is deliverable in ~10–11 days.</w:t>
      </w:r>
    </w:p>
    <w:p w14:paraId="303C6D24" w14:textId="77777777" w:rsidR="00226DD6" w:rsidRDefault="00226DD6" w:rsidP="00226DD6">
      <w:r>
        <w:t>Biggest technical risk is the CityJSON → glTF conversion pipeline — the mitigation is to fall back to extruded footprint polygons for any buildings with malformed solid geometry, which renders identically at typical zoom levels.</w:t>
      </w:r>
    </w:p>
    <w:p w14:paraId="61FB3514" w14:textId="77777777" w:rsidR="004455E0" w:rsidRDefault="004455E0"/>
    <w:sectPr w:rsidR="004455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59"/>
    <w:rsid w:val="00226DD6"/>
    <w:rsid w:val="002F3E59"/>
    <w:rsid w:val="004455E0"/>
    <w:rsid w:val="00752F3A"/>
    <w:rsid w:val="00CC338A"/>
    <w:rsid w:val="00E0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1AA22-5B87-40CC-9998-E3B2074B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F3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Zhang</dc:creator>
  <cp:keywords/>
  <dc:description/>
  <cp:lastModifiedBy>Tian Zhang</cp:lastModifiedBy>
  <cp:revision>2</cp:revision>
  <dcterms:created xsi:type="dcterms:W3CDTF">2026-03-26T16:16:00Z</dcterms:created>
  <dcterms:modified xsi:type="dcterms:W3CDTF">2026-03-26T16:16:00Z</dcterms:modified>
</cp:coreProperties>
</file>