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T021</w:t>
      </w:r>
    </w:p>
    <w:p>
      <w:r>
        <w:t>推定名称：附件</w:t>
      </w:r>
    </w:p>
    <w:p>
      <w:r>
        <w:t>制度上下文：四、其他事項 &gt; 5.6其他 &gt; 附件</w:t>
      </w:r>
    </w:p>
    <w:p>
      <w:r>
        <w:t>来源：安全管理辦法彙編20241025（無修訂版）.docx</w:t>
      </w:r>
    </w:p>
    <w:p>
      <w:r>
        <w:t>表格序号：21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E8206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58C6D263">
            <w:pPr>
              <w:spacing w:before="120"/>
              <w:ind w:firstLine="120"/>
              <w:rPr>
                <w:rFonts w:ascii="Times New Roman" w:hAnsi="Times New Roman"/>
                <w:sz w:val="6"/>
                <w:szCs w:val="28"/>
              </w:rPr>
            </w:pPr>
            <w:r>
              <w:rPr>
                <w:rFonts w:ascii="Times New Roman" w:hAnsi="Times New Roman"/>
                <w:sz w:val="6"/>
                <w:szCs w:val="28"/>
              </w:rPr>
              <w:t xml:space="preserve">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