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T137</w:t>
      </w:r>
    </w:p>
    <w:p>
      <w:r>
        <w:t>推定名称：2. 每月“行為安全之星”評選比例，原則上不超過獲得“行為安全表彰卡”總人數的3%。</w:t>
      </w:r>
    </w:p>
    <w:p>
      <w:r>
        <w:t>制度上下文：4. 安全審核發現嚴重不符合點； &gt; 5. 業主安全審核(PASS及CPR等)發現嚴重不符合點或扣分。 &gt; 2. 每月“行為安全之星”評選比例，原則上不超過獲得“行為安全表彰卡”總人數的3%。</w:t>
      </w:r>
    </w:p>
    <w:p>
      <w:r>
        <w:t>来源：安全管理辦法彙編20241025（無修訂版）.docx</w:t>
      </w:r>
    </w:p>
    <w:p>
      <w:r>
        <w:t>表格序号：137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pPr w:leftFromText="180" w:rightFromText="180" w:vertAnchor="text" w:horzAnchor="page" w:tblpX="1094" w:tblpY="185"/>
        <w:tblOverlap w:val="never"/>
        <w:tblW w:w="1063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5"/>
        <w:gridCol w:w="1843"/>
        <w:gridCol w:w="1984"/>
        <w:gridCol w:w="1418"/>
        <w:gridCol w:w="1984"/>
      </w:tblGrid>
      <w:tr w14:paraId="52974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6FF81CB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獎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金</w:t>
            </w:r>
          </w:p>
          <w:p w14:paraId="1C71F2F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發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放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人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5A81E16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3B08B0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高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級</w:t>
            </w:r>
          </w:p>
          <w:p w14:paraId="66D1586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安全管理人員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0838C28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14:paraId="048C8D5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1F170E9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05A3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1125869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  <w:vAlign w:val="center"/>
          </w:tcPr>
          <w:p w14:paraId="67A9E45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BA8C28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</w:tcBorders>
            <w:vAlign w:val="center"/>
          </w:tcPr>
          <w:p w14:paraId="143AA8D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96C92E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</w:tcBorders>
            <w:vAlign w:val="center"/>
          </w:tcPr>
          <w:p w14:paraId="454B99D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8995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1F26749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2153B0D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2B3936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5E2B915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873A12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16FA3A4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