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T014</w:t>
      </w:r>
    </w:p>
    <w:p>
      <w:r>
        <w:t>推定名称：第三級別：地盤季度工傷數量為5宗或以上，或千人意外率等於或超出基準指標指標100%，則除需執行上一級別處理外，會發送資料給公司領導供公司領導帶班檢查。</w:t>
      </w:r>
    </w:p>
    <w:p>
      <w:r>
        <w:t>制度上下文：簽發原因及流程 &gt; 3.2 安全生產季度監控 &gt; 一、季度安全管理監控</w:t>
      </w:r>
    </w:p>
    <w:p>
      <w:r>
        <w:t>来源：安全管理辦法彙編20241025（無修訂版）.docx</w:t>
      </w:r>
    </w:p>
    <w:p>
      <w:r>
        <w:t>表格序号：14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092" w:type="dxa"/>
        <w:tblInd w:w="-3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3634"/>
        <w:gridCol w:w="4458"/>
      </w:tblGrid>
      <w:tr w14:paraId="6E62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830" w:type="dxa"/>
            <w:tcBorders>
              <w:bottom w:val="double" w:color="auto" w:sz="4" w:space="0"/>
            </w:tcBorders>
            <w:vAlign w:val="center"/>
          </w:tcPr>
          <w:p w14:paraId="68E22708">
            <w:pPr>
              <w:spacing w:before="120" w:after="96" w:afterLines="40"/>
              <w:ind w:firstLine="522"/>
              <w:jc w:val="center"/>
              <w:rPr>
                <w:rFonts w:ascii="FangSong" w:hAnsi="FangSong" w:cs="FangSong"/>
                <w:b/>
                <w:sz w:val="26"/>
                <w:szCs w:val="26"/>
                <w:lang w:eastAsia="zh-CN"/>
              </w:rPr>
            </w:pPr>
            <w:r>
              <w:rPr>
                <w:rFonts w:hint="eastAsia" w:ascii="FangSong" w:hAnsi="FangSong" w:cs="FangSong"/>
                <w:b/>
                <w:sz w:val="26"/>
                <w:szCs w:val="26"/>
                <w:lang w:eastAsia="zh-CN"/>
              </w:rPr>
              <w:t>處理級別</w:t>
            </w:r>
          </w:p>
        </w:tc>
        <w:tc>
          <w:tcPr>
            <w:tcW w:w="3707" w:type="dxa"/>
            <w:tcBorders>
              <w:bottom w:val="double" w:color="auto" w:sz="4" w:space="0"/>
            </w:tcBorders>
            <w:vAlign w:val="center"/>
          </w:tcPr>
          <w:p w14:paraId="470057D1">
            <w:pPr>
              <w:spacing w:before="120" w:after="96" w:afterLines="40"/>
              <w:ind w:firstLine="522"/>
              <w:jc w:val="center"/>
              <w:rPr>
                <w:rFonts w:ascii="FangSong" w:hAnsi="FangSong" w:cs="FangSong"/>
                <w:b/>
                <w:sz w:val="26"/>
                <w:szCs w:val="26"/>
                <w:lang w:eastAsia="zh-CN"/>
              </w:rPr>
            </w:pPr>
            <w:r>
              <w:rPr>
                <w:rFonts w:hint="eastAsia" w:ascii="FangSong" w:hAnsi="FangSong" w:cs="FangSong"/>
                <w:b/>
                <w:sz w:val="26"/>
                <w:szCs w:val="26"/>
                <w:lang w:eastAsia="zh-CN"/>
              </w:rPr>
              <w:t>處理標准</w:t>
            </w:r>
          </w:p>
        </w:tc>
        <w:tc>
          <w:tcPr>
            <w:tcW w:w="4555" w:type="dxa"/>
            <w:tcBorders>
              <w:bottom w:val="double" w:color="auto" w:sz="4" w:space="0"/>
            </w:tcBorders>
            <w:vAlign w:val="center"/>
          </w:tcPr>
          <w:p w14:paraId="7335B4B4">
            <w:pPr>
              <w:spacing w:before="120" w:after="96" w:afterLines="40"/>
              <w:ind w:firstLine="522"/>
              <w:jc w:val="center"/>
              <w:rPr>
                <w:rFonts w:ascii="FangSong" w:hAnsi="FangSong" w:cs="FangSong"/>
                <w:b/>
                <w:sz w:val="26"/>
                <w:szCs w:val="26"/>
                <w:lang w:eastAsia="zh-CN"/>
              </w:rPr>
            </w:pPr>
            <w:r>
              <w:rPr>
                <w:rFonts w:hint="eastAsia" w:ascii="FangSong" w:hAnsi="FangSong" w:cs="FangSong"/>
                <w:b/>
                <w:sz w:val="26"/>
                <w:szCs w:val="26"/>
                <w:lang w:eastAsia="zh-CN"/>
              </w:rPr>
              <w:t>處理方法</w:t>
            </w:r>
          </w:p>
        </w:tc>
      </w:tr>
      <w:tr w14:paraId="2AA2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830" w:type="dxa"/>
            <w:tcBorders>
              <w:top w:val="double" w:color="auto" w:sz="4" w:space="0"/>
            </w:tcBorders>
            <w:vAlign w:val="center"/>
          </w:tcPr>
          <w:p w14:paraId="4EBEA130">
            <w:pPr>
              <w:spacing w:before="120"/>
              <w:ind w:firstLine="520"/>
              <w:rPr>
                <w:rFonts w:ascii="FangSong" w:hAnsi="FangSong" w:cs="FangSong"/>
                <w:sz w:val="26"/>
                <w:szCs w:val="26"/>
                <w:lang w:eastAsia="zh-CN"/>
              </w:rPr>
            </w:pPr>
            <w:r>
              <w:rPr>
                <w:rFonts w:hint="eastAsia" w:ascii="FangSong" w:hAnsi="FangSong" w:cs="FangSong"/>
                <w:sz w:val="26"/>
                <w:szCs w:val="26"/>
                <w:lang w:eastAsia="zh-CN"/>
              </w:rPr>
              <w:t>第一級別</w:t>
            </w:r>
          </w:p>
        </w:tc>
        <w:tc>
          <w:tcPr>
            <w:tcW w:w="3707" w:type="dxa"/>
            <w:tcBorders>
              <w:top w:val="double" w:color="auto" w:sz="4" w:space="0"/>
            </w:tcBorders>
            <w:vAlign w:val="center"/>
          </w:tcPr>
          <w:p w14:paraId="023A9C83">
            <w:pPr>
              <w:spacing w:before="120"/>
              <w:ind w:firstLine="520"/>
              <w:jc w:val="center"/>
              <w:rPr>
                <w:rFonts w:ascii="FangSong" w:hAnsi="FangSong" w:cs="FangSong"/>
                <w:sz w:val="26"/>
                <w:szCs w:val="26"/>
              </w:rPr>
            </w:pPr>
            <w:r>
              <w:rPr>
                <w:rFonts w:hint="eastAsia" w:ascii="FangSong" w:hAnsi="FangSong" w:cs="FangSong"/>
                <w:sz w:val="26"/>
                <w:szCs w:val="26"/>
              </w:rPr>
              <w:t>季度工傷2宗或以上，或季度千人意外率等於或超過季度分解指標30%</w:t>
            </w:r>
          </w:p>
        </w:tc>
        <w:tc>
          <w:tcPr>
            <w:tcW w:w="4555" w:type="dxa"/>
            <w:tcBorders>
              <w:top w:val="double" w:color="auto" w:sz="4" w:space="0"/>
            </w:tcBorders>
            <w:vAlign w:val="center"/>
          </w:tcPr>
          <w:p w14:paraId="1D92FA8D">
            <w:pPr>
              <w:spacing w:before="120"/>
              <w:ind w:firstLine="520"/>
              <w:rPr>
                <w:rFonts w:ascii="FangSong" w:hAnsi="FangSong" w:cs="FangSong"/>
                <w:sz w:val="26"/>
                <w:szCs w:val="26"/>
              </w:rPr>
            </w:pPr>
            <w:r>
              <w:rPr>
                <w:rFonts w:hint="eastAsia" w:ascii="FangSong" w:hAnsi="FangSong" w:cs="FangSong"/>
                <w:sz w:val="26"/>
                <w:szCs w:val="26"/>
              </w:rPr>
              <w:t>安環部發出警示通知，地盤需在三天內提交整改報告</w:t>
            </w:r>
          </w:p>
        </w:tc>
      </w:tr>
      <w:tr w14:paraId="178D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830" w:type="dxa"/>
            <w:vAlign w:val="center"/>
          </w:tcPr>
          <w:p w14:paraId="3CCB0ABD">
            <w:pPr>
              <w:spacing w:before="120"/>
              <w:ind w:firstLine="520"/>
              <w:rPr>
                <w:rFonts w:ascii="FangSong" w:hAnsi="FangSong" w:cs="FangSong"/>
                <w:sz w:val="26"/>
                <w:szCs w:val="26"/>
                <w:lang w:eastAsia="zh-CN"/>
              </w:rPr>
            </w:pPr>
            <w:r>
              <w:rPr>
                <w:rFonts w:hint="eastAsia" w:ascii="FangSong" w:hAnsi="FangSong" w:cs="FangSong"/>
                <w:sz w:val="26"/>
                <w:szCs w:val="26"/>
                <w:lang w:eastAsia="zh-CN"/>
              </w:rPr>
              <w:t>第二級別</w:t>
            </w:r>
          </w:p>
        </w:tc>
        <w:tc>
          <w:tcPr>
            <w:tcW w:w="3707" w:type="dxa"/>
            <w:vAlign w:val="center"/>
          </w:tcPr>
          <w:p w14:paraId="5467BF96">
            <w:pPr>
              <w:spacing w:before="120"/>
              <w:ind w:firstLine="520"/>
              <w:jc w:val="center"/>
              <w:rPr>
                <w:rFonts w:ascii="FangSong" w:hAnsi="FangSong" w:cs="FangSong"/>
                <w:sz w:val="26"/>
                <w:szCs w:val="26"/>
              </w:rPr>
            </w:pPr>
            <w:r>
              <w:rPr>
                <w:rFonts w:hint="eastAsia" w:ascii="FangSong" w:hAnsi="FangSong" w:cs="FangSong"/>
                <w:sz w:val="26"/>
                <w:szCs w:val="26"/>
              </w:rPr>
              <w:t>季度4宗或以上，或季度千人意外率等於或超過季度分解指標50%</w:t>
            </w:r>
          </w:p>
        </w:tc>
        <w:tc>
          <w:tcPr>
            <w:tcW w:w="4555" w:type="dxa"/>
            <w:vAlign w:val="center"/>
          </w:tcPr>
          <w:p w14:paraId="2B2DCFE9">
            <w:pPr>
              <w:spacing w:before="120"/>
              <w:ind w:firstLine="520"/>
              <w:rPr>
                <w:rFonts w:ascii="FangSong" w:hAnsi="FangSong" w:cs="FangSong"/>
                <w:sz w:val="26"/>
                <w:szCs w:val="26"/>
              </w:rPr>
            </w:pPr>
            <w:r>
              <w:rPr>
                <w:rFonts w:hint="eastAsia" w:ascii="FangSong" w:hAnsi="FangSong" w:cs="FangSong"/>
                <w:sz w:val="26"/>
                <w:szCs w:val="26"/>
              </w:rPr>
              <w:t>除執行第一級別處理措施外，將視情況提升地盤安全風險等級，並向對應工程部門領導發佈信息供帶班檢查</w:t>
            </w:r>
          </w:p>
        </w:tc>
      </w:tr>
      <w:tr w14:paraId="5D1C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30" w:type="dxa"/>
            <w:vAlign w:val="center"/>
          </w:tcPr>
          <w:p w14:paraId="38B5EBC0">
            <w:pPr>
              <w:spacing w:before="120"/>
              <w:ind w:firstLine="520"/>
              <w:rPr>
                <w:rFonts w:ascii="FangSong" w:hAnsi="FangSong" w:cs="FangSong"/>
                <w:sz w:val="26"/>
                <w:szCs w:val="26"/>
                <w:lang w:eastAsia="zh-CN"/>
              </w:rPr>
            </w:pPr>
            <w:r>
              <w:rPr>
                <w:rFonts w:hint="eastAsia" w:ascii="FangSong" w:hAnsi="FangSong" w:cs="FangSong"/>
                <w:sz w:val="26"/>
                <w:szCs w:val="26"/>
                <w:lang w:eastAsia="zh-CN"/>
              </w:rPr>
              <w:t>第三級別</w:t>
            </w:r>
          </w:p>
        </w:tc>
        <w:tc>
          <w:tcPr>
            <w:tcW w:w="3707" w:type="dxa"/>
            <w:vAlign w:val="center"/>
          </w:tcPr>
          <w:p w14:paraId="3621FAC5">
            <w:pPr>
              <w:spacing w:before="120"/>
              <w:ind w:firstLine="520"/>
              <w:jc w:val="center"/>
              <w:rPr>
                <w:rFonts w:ascii="FangSong" w:hAnsi="FangSong" w:cs="FangSong"/>
                <w:sz w:val="26"/>
                <w:szCs w:val="26"/>
              </w:rPr>
            </w:pPr>
            <w:r>
              <w:rPr>
                <w:rFonts w:hint="eastAsia" w:ascii="FangSong" w:hAnsi="FangSong" w:cs="FangSong"/>
                <w:sz w:val="26"/>
                <w:szCs w:val="26"/>
              </w:rPr>
              <w:t>季度5宗或以上，或季度千人意外率超過季度分解指標100%</w:t>
            </w:r>
          </w:p>
        </w:tc>
        <w:tc>
          <w:tcPr>
            <w:tcW w:w="4555" w:type="dxa"/>
            <w:vAlign w:val="center"/>
          </w:tcPr>
          <w:p w14:paraId="509E1F1F">
            <w:pPr>
              <w:spacing w:before="120"/>
              <w:ind w:firstLine="520"/>
              <w:rPr>
                <w:rFonts w:ascii="FangSong" w:hAnsi="FangSong" w:cs="FangSong"/>
                <w:sz w:val="26"/>
                <w:szCs w:val="26"/>
              </w:rPr>
            </w:pPr>
            <w:r>
              <w:rPr>
                <w:rFonts w:hint="eastAsia" w:ascii="FangSong" w:hAnsi="FangSong" w:cs="FangSong"/>
                <w:sz w:val="26"/>
                <w:szCs w:val="26"/>
              </w:rPr>
              <w:t>除執行第一、第二級別處理措施外，並向公司領導發佈信息供帶班檢查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