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T031</w:t>
      </w:r>
    </w:p>
    <w:p>
      <w:r>
        <w:t>推定名称：3. 完成工作後，必須將此證註銷及交回地盤記錄。</w:t>
      </w:r>
    </w:p>
    <w:p>
      <w:r>
        <w:t>制度上下文：Implement hot work permitsystem執行熱工序許可證制度 &gt; 2. 此許可證必須展示於工作地點當眼處。 &gt; 3. 完成工作後，必須將此證註銷及交回地盤記錄。</w:t>
      </w:r>
    </w:p>
    <w:p>
      <w:r>
        <w:t>来源：安全管理辦法彙編20241025（無修訂版）.docx</w:t>
      </w:r>
    </w:p>
    <w:p>
      <w:r>
        <w:t>表格序号：31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8"/>
        <w:gridCol w:w="4677"/>
      </w:tblGrid>
      <w:tr w14:paraId="2A55D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28" w:type="dxa"/>
            <w:tcBorders>
              <w:bottom w:val="double" w:color="auto" w:sz="4" w:space="0"/>
            </w:tcBorders>
            <w:vAlign w:val="center"/>
          </w:tcPr>
          <w:p w14:paraId="3C7BBC0A">
            <w:pPr>
              <w:spacing w:before="48" w:beforeLines="20" w:after="48" w:afterLines="20"/>
              <w:ind w:firstLine="522"/>
              <w:jc w:val="center"/>
              <w:rPr>
                <w:rFonts w:ascii="FangSong" w:hAnsi="FangSong"/>
                <w:b/>
                <w:sz w:val="26"/>
                <w:szCs w:val="26"/>
              </w:rPr>
            </w:pPr>
            <w:r>
              <w:rPr>
                <w:rFonts w:hint="eastAsia" w:ascii="FangSong" w:hAnsi="FangSong"/>
                <w:b/>
                <w:sz w:val="26"/>
                <w:szCs w:val="26"/>
              </w:rPr>
              <w:t>適用範圍(不包括車路地洞</w:t>
            </w:r>
            <w:r>
              <w:rPr>
                <w:rFonts w:ascii="FangSong" w:hAnsi="FangSong"/>
                <w:b/>
                <w:sz w:val="26"/>
                <w:szCs w:val="26"/>
              </w:rPr>
              <w:t>)</w:t>
            </w:r>
          </w:p>
        </w:tc>
        <w:tc>
          <w:tcPr>
            <w:tcW w:w="4677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71E99DC0">
            <w:pPr>
              <w:spacing w:before="48" w:beforeLines="20" w:after="48" w:afterLines="20"/>
              <w:ind w:firstLine="522"/>
              <w:jc w:val="center"/>
              <w:rPr>
                <w:rFonts w:ascii="FangSong" w:hAnsi="FangSong"/>
                <w:b/>
                <w:sz w:val="26"/>
                <w:szCs w:val="26"/>
                <w:lang w:eastAsia="zh-CN"/>
              </w:rPr>
            </w:pPr>
            <w:r>
              <w:rPr>
                <w:rFonts w:hint="eastAsia" w:ascii="FangSong" w:hAnsi="FangSong"/>
                <w:b/>
                <w:sz w:val="26"/>
                <w:szCs w:val="26"/>
              </w:rPr>
              <w:t>搭建要求</w:t>
            </w:r>
          </w:p>
        </w:tc>
      </w:tr>
      <w:tr w14:paraId="7B946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28" w:type="dxa"/>
            <w:tcBorders>
              <w:bottom w:val="single" w:color="auto" w:sz="4" w:space="0"/>
            </w:tcBorders>
          </w:tcPr>
          <w:p w14:paraId="39643337">
            <w:pPr>
              <w:numPr>
                <w:ilvl w:val="0"/>
                <w:numId w:val="128"/>
              </w:numPr>
              <w:spacing w:before="48" w:beforeLines="20" w:after="48" w:afterLines="20"/>
              <w:ind w:left="319" w:firstLine="520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6 x 6英</w:t>
            </w:r>
            <w:r>
              <w:rPr>
                <w:rFonts w:hint="eastAsia" w:ascii="Times New Roman" w:hAnsi="Times New Roman"/>
                <w:szCs w:val="28"/>
              </w:rPr>
              <w:t>吋</w:t>
            </w:r>
          </w:p>
          <w:p w14:paraId="540D99F3">
            <w:pPr>
              <w:spacing w:before="48" w:beforeLines="20" w:after="48" w:afterLines="20"/>
              <w:ind w:firstLine="520"/>
              <w:jc w:val="both"/>
              <w:rPr>
                <w:rFonts w:ascii="Times New Roman" w:hAnsi="Times New Roman" w:eastAsia="DengXian"/>
                <w:sz w:val="26"/>
                <w:szCs w:val="26"/>
              </w:rPr>
            </w:pPr>
            <w:r>
              <w:rPr>
                <w:rFonts w:ascii="Times New Roman" w:hAnsi="Times New Roman" w:eastAsia="DengXian"/>
                <w:sz w:val="26"/>
                <w:szCs w:val="26"/>
              </w:rPr>
              <w:t xml:space="preserve">  (</w:t>
            </w:r>
            <w:r>
              <w:rPr>
                <w:rFonts w:hint="eastAsia" w:ascii="Times New Roman" w:hAnsi="Times New Roman"/>
                <w:sz w:val="26"/>
                <w:szCs w:val="26"/>
              </w:rPr>
              <w:sym w:font="Symbol" w:char="F0A3"/>
            </w:r>
            <w:r>
              <w:rPr>
                <w:rFonts w:hint="eastAsia"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DengXian"/>
                <w:sz w:val="26"/>
                <w:szCs w:val="26"/>
              </w:rPr>
              <w:t>150mm x 150mm)</w:t>
            </w:r>
          </w:p>
        </w:tc>
        <w:tc>
          <w:tcPr>
            <w:tcW w:w="4677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8D7D85E">
            <w:pPr>
              <w:spacing w:before="48" w:beforeLines="20" w:after="48" w:afterLines="20"/>
              <w:ind w:firstLine="52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eastAsia" w:ascii="Times New Roman" w:hAnsi="FangSong"/>
                <w:sz w:val="26"/>
                <w:szCs w:val="28"/>
              </w:rPr>
              <w:t>應使用地洞防護活動鐵板進行覆蓋，避免工友誤踏或物料墮下</w:t>
            </w:r>
          </w:p>
        </w:tc>
      </w:tr>
      <w:tr w14:paraId="11621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28" w:type="dxa"/>
            <w:tcBorders>
              <w:bottom w:val="single" w:color="auto" w:sz="4" w:space="0"/>
            </w:tcBorders>
          </w:tcPr>
          <w:p w14:paraId="073B0887">
            <w:pPr>
              <w:numPr>
                <w:ilvl w:val="0"/>
                <w:numId w:val="128"/>
              </w:numPr>
              <w:spacing w:before="48" w:beforeLines="20" w:after="48" w:afterLines="20"/>
              <w:ind w:left="319" w:firstLine="52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eastAsia" w:ascii="Times New Roman" w:hAnsi="細明體"/>
                <w:sz w:val="26"/>
                <w:szCs w:val="28"/>
              </w:rPr>
              <w:t>僅有</w:t>
            </w:r>
            <w:r>
              <w:rPr>
                <w:rFonts w:hint="eastAsia" w:ascii="Times New Roman" w:hAnsi="Times New Roman"/>
                <w:sz w:val="26"/>
                <w:szCs w:val="28"/>
              </w:rPr>
              <w:t>1</w:t>
            </w:r>
            <w:r>
              <w:rPr>
                <w:rFonts w:hint="eastAsia" w:ascii="Times New Roman" w:hAnsi="細明體"/>
                <w:sz w:val="26"/>
                <w:szCs w:val="28"/>
              </w:rPr>
              <w:t>或</w:t>
            </w:r>
            <w:r>
              <w:rPr>
                <w:rFonts w:hint="eastAsia" w:ascii="Times New Roman" w:hAnsi="Times New Roman"/>
                <w:sz w:val="26"/>
                <w:szCs w:val="28"/>
              </w:rPr>
              <w:t>2</w:t>
            </w:r>
            <w:r>
              <w:rPr>
                <w:rFonts w:hint="eastAsia" w:ascii="Times New Roman" w:hAnsi="細明體"/>
                <w:sz w:val="26"/>
                <w:szCs w:val="28"/>
              </w:rPr>
              <w:t>個邊緣可作支撐</w:t>
            </w:r>
          </w:p>
        </w:tc>
        <w:tc>
          <w:tcPr>
            <w:tcW w:w="4677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7EC2C73B">
            <w:pPr>
              <w:spacing w:before="48" w:beforeLines="20" w:after="48" w:afterLines="20"/>
              <w:ind w:firstLine="52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設置合規格圍欄及踢腳板</w:t>
            </w:r>
            <w:r>
              <w:rPr>
                <w:rFonts w:hint="eastAsia" w:ascii="Times New Roman" w:hAnsi="新細明體"/>
                <w:sz w:val="26"/>
                <w:szCs w:val="26"/>
              </w:rPr>
              <w:t>，</w:t>
            </w:r>
            <w:r>
              <w:rPr>
                <w:rFonts w:hint="eastAsia" w:ascii="Times New Roman" w:hAnsi="Times New Roman"/>
                <w:sz w:val="26"/>
                <w:szCs w:val="26"/>
              </w:rPr>
              <w:t>妥善圍封地洞</w:t>
            </w:r>
          </w:p>
        </w:tc>
      </w:tr>
      <w:tr w14:paraId="21362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28" w:type="dxa"/>
            <w:tcBorders>
              <w:top w:val="single" w:color="auto" w:sz="4" w:space="0"/>
              <w:bottom w:val="nil"/>
            </w:tcBorders>
            <w:vAlign w:val="center"/>
          </w:tcPr>
          <w:p w14:paraId="7B4DCAC0">
            <w:pPr>
              <w:numPr>
                <w:ilvl w:val="0"/>
                <w:numId w:val="128"/>
              </w:numPr>
              <w:spacing w:before="48" w:beforeLines="20" w:after="48" w:afterLines="20"/>
              <w:ind w:left="319" w:firstLine="52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有</w:t>
            </w:r>
            <w:r>
              <w:rPr>
                <w:rFonts w:hint="eastAsia" w:ascii="Times New Roman" w:hAnsi="Times New Roman"/>
                <w:sz w:val="26"/>
                <w:szCs w:val="28"/>
              </w:rPr>
              <w:t>3</w:t>
            </w:r>
            <w:r>
              <w:rPr>
                <w:rFonts w:hint="eastAsia" w:ascii="Times New Roman" w:hAnsi="細明體"/>
                <w:sz w:val="26"/>
                <w:szCs w:val="28"/>
              </w:rPr>
              <w:t>個或以上邊緣</w:t>
            </w:r>
            <w:r>
              <w:rPr>
                <w:rFonts w:hint="eastAsia" w:ascii="Times New Roman" w:hAnsi="Times New Roman"/>
                <w:sz w:val="26"/>
                <w:szCs w:val="26"/>
              </w:rPr>
              <w:t>可作支撐</w:t>
            </w:r>
          </w:p>
        </w:tc>
        <w:tc>
          <w:tcPr>
            <w:tcW w:w="4677" w:type="dxa"/>
            <w:tcBorders>
              <w:top w:val="single" w:color="auto" w:sz="4" w:space="0"/>
              <w:bottom w:val="nil"/>
            </w:tcBorders>
            <w:shd w:val="clear" w:color="auto" w:fill="auto"/>
            <w:vAlign w:val="center"/>
          </w:tcPr>
          <w:p w14:paraId="72682A92">
            <w:pPr>
              <w:spacing w:before="120" w:beforeLines="50" w:line="240" w:lineRule="atLeast"/>
              <w:ind w:firstLine="52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70842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28" w:type="dxa"/>
            <w:tcBorders>
              <w:top w:val="nil"/>
              <w:bottom w:val="dotted" w:color="auto" w:sz="4" w:space="0"/>
            </w:tcBorders>
          </w:tcPr>
          <w:p w14:paraId="35CD4971">
            <w:pPr>
              <w:numPr>
                <w:ilvl w:val="0"/>
                <w:numId w:val="129"/>
              </w:numPr>
              <w:spacing w:before="120" w:beforeLines="50" w:line="360" w:lineRule="atLeast"/>
              <w:ind w:firstLine="52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sym w:font="Symbol" w:char="F0A3"/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hint="eastAsia" w:ascii="Times New Roman" w:hAnsi="Times New Roman"/>
                <w:sz w:val="26"/>
                <w:szCs w:val="26"/>
              </w:rPr>
              <w:t xml:space="preserve">2 x </w:t>
            </w:r>
            <w:r>
              <w:rPr>
                <w:rFonts w:ascii="Times New Roman" w:hAnsi="Times New Roman"/>
                <w:sz w:val="26"/>
                <w:szCs w:val="26"/>
              </w:rPr>
              <w:t>2</w:t>
            </w:r>
            <w:r>
              <w:rPr>
                <w:rFonts w:hint="eastAsia" w:ascii="Times New Roman" w:hAnsi="Times New Roman"/>
                <w:sz w:val="26"/>
                <w:szCs w:val="26"/>
              </w:rPr>
              <w:t>英呎或面積不大於4平方英呎</w:t>
            </w:r>
          </w:p>
          <w:p w14:paraId="1F874E1E">
            <w:pPr>
              <w:spacing w:before="120" w:beforeLines="50" w:line="360" w:lineRule="atLeast"/>
              <w:ind w:left="403" w:firstLine="52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eastAsia="DengXian"/>
                <w:sz w:val="26"/>
                <w:szCs w:val="26"/>
              </w:rPr>
              <w:t>(</w:t>
            </w:r>
            <w:r>
              <w:rPr>
                <w:rFonts w:hint="eastAsia" w:ascii="Times New Roman" w:hAnsi="Times New Roman"/>
                <w:sz w:val="26"/>
                <w:szCs w:val="26"/>
              </w:rPr>
              <w:sym w:font="Symbol" w:char="F0A3"/>
            </w:r>
            <w:r>
              <w:rPr>
                <w:rFonts w:hint="eastAsia"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DengXian"/>
                <w:sz w:val="26"/>
                <w:szCs w:val="26"/>
              </w:rPr>
              <w:t>600mm x 600mm</w:t>
            </w:r>
            <w:r>
              <w:rPr>
                <w:rFonts w:hint="eastAsia" w:ascii="Times New Roman" w:hAnsi="Times New Roman"/>
                <w:sz w:val="26"/>
                <w:szCs w:val="26"/>
              </w:rPr>
              <w:t>或面積不大於</w:t>
            </w:r>
            <w:r>
              <w:rPr>
                <w:rFonts w:ascii="Times New Roman" w:hAnsi="Times New Roman"/>
                <w:sz w:val="26"/>
                <w:szCs w:val="26"/>
              </w:rPr>
              <w:t>0.36</w:t>
            </w:r>
            <w:r>
              <w:rPr>
                <w:rFonts w:hint="eastAsia" w:ascii="Times New Roman" w:hAnsi="Times New Roman"/>
                <w:sz w:val="26"/>
                <w:szCs w:val="26"/>
              </w:rPr>
              <w:t>平方米</w:t>
            </w:r>
            <w:r>
              <w:rPr>
                <w:rFonts w:ascii="Times New Roman" w:hAnsi="Times New Roman" w:eastAsia="DengXian"/>
                <w:sz w:val="26"/>
                <w:szCs w:val="26"/>
              </w:rPr>
              <w:t>)</w:t>
            </w:r>
          </w:p>
        </w:tc>
        <w:tc>
          <w:tcPr>
            <w:tcW w:w="4677" w:type="dxa"/>
            <w:tcBorders>
              <w:top w:val="nil"/>
              <w:bottom w:val="dotted" w:color="auto" w:sz="4" w:space="0"/>
            </w:tcBorders>
            <w:shd w:val="clear" w:color="auto" w:fill="auto"/>
            <w:vAlign w:val="center"/>
          </w:tcPr>
          <w:p w14:paraId="24CC951D">
            <w:pPr>
              <w:numPr>
                <w:ilvl w:val="0"/>
                <w:numId w:val="130"/>
              </w:numPr>
              <w:spacing w:before="120" w:beforeLines="50" w:line="360" w:lineRule="atLeast"/>
              <w:ind w:left="313" w:firstLine="52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使用至少6分(</w:t>
            </w:r>
            <w:r>
              <w:rPr>
                <w:rFonts w:ascii="Times New Roman" w:hAnsi="Times New Roman"/>
                <w:sz w:val="26"/>
                <w:szCs w:val="26"/>
              </w:rPr>
              <w:t>18mm)</w:t>
            </w:r>
            <w:r>
              <w:rPr>
                <w:rFonts w:hint="eastAsia" w:ascii="Times New Roman" w:hAnsi="Times New Roman"/>
                <w:sz w:val="26"/>
                <w:szCs w:val="26"/>
              </w:rPr>
              <w:t>厚木板或1分(</w:t>
            </w:r>
            <w:r>
              <w:rPr>
                <w:rFonts w:ascii="Times New Roman" w:hAnsi="Times New Roman"/>
                <w:sz w:val="26"/>
                <w:szCs w:val="26"/>
              </w:rPr>
              <w:t>3mm)</w:t>
            </w:r>
            <w:r>
              <w:rPr>
                <w:rFonts w:hint="eastAsia" w:ascii="Times New Roman" w:hAnsi="Times New Roman"/>
                <w:sz w:val="26"/>
                <w:szCs w:val="26"/>
              </w:rPr>
              <w:t>厚地洞防護活動鐵板用作地洞覆蓋物</w:t>
            </w:r>
          </w:p>
          <w:p w14:paraId="5781468F">
            <w:pPr>
              <w:numPr>
                <w:ilvl w:val="0"/>
                <w:numId w:val="130"/>
              </w:numPr>
              <w:spacing w:before="120" w:beforeLines="50" w:line="360" w:lineRule="atLeast"/>
              <w:ind w:left="313" w:firstLine="52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覆蓋物料須確保地洞邊緣至少有6英吋(</w:t>
            </w:r>
            <w:r>
              <w:rPr>
                <w:rFonts w:ascii="Times New Roman" w:hAnsi="Times New Roman"/>
                <w:sz w:val="26"/>
                <w:szCs w:val="26"/>
              </w:rPr>
              <w:t>150mm)</w:t>
            </w:r>
            <w:r>
              <w:rPr>
                <w:rFonts w:hint="eastAsia" w:ascii="Times New Roman" w:hAnsi="Times New Roman"/>
                <w:sz w:val="26"/>
                <w:szCs w:val="26"/>
              </w:rPr>
              <w:t>闊度作支撐</w:t>
            </w:r>
          </w:p>
          <w:p w14:paraId="157CD1AA">
            <w:pPr>
              <w:numPr>
                <w:ilvl w:val="0"/>
                <w:numId w:val="130"/>
              </w:numPr>
              <w:spacing w:before="120" w:beforeLines="50" w:line="360" w:lineRule="atLeast"/>
              <w:ind w:left="313" w:firstLine="52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木板覆蓋物料長度位置需釘上至少2條2 x 4英吋(</w:t>
            </w:r>
            <w:r>
              <w:rPr>
                <w:rFonts w:ascii="Times New Roman" w:hAnsi="Times New Roman"/>
                <w:sz w:val="26"/>
                <w:szCs w:val="26"/>
              </w:rPr>
              <w:t>50mm</w:t>
            </w:r>
            <w:r>
              <w:rPr>
                <w:rFonts w:hint="eastAsia" w:ascii="Times New Roman" w:hAnsi="Times New Roman"/>
                <w:sz w:val="26"/>
                <w:szCs w:val="26"/>
              </w:rPr>
              <w:t xml:space="preserve"> x </w:t>
            </w:r>
            <w:r>
              <w:rPr>
                <w:rFonts w:ascii="Times New Roman" w:hAnsi="Times New Roman"/>
                <w:sz w:val="26"/>
                <w:szCs w:val="26"/>
              </w:rPr>
              <w:t>100mm)</w:t>
            </w:r>
            <w:r>
              <w:rPr>
                <w:rFonts w:hint="eastAsia" w:ascii="Times New Roman" w:hAnsi="Times New Roman"/>
                <w:sz w:val="26"/>
                <w:szCs w:val="26"/>
              </w:rPr>
              <w:t>木枋作強化支撐及限位用途，且木枋之間的距離不應超過1英呎(300mm)</w:t>
            </w:r>
          </w:p>
        </w:tc>
      </w:tr>
      <w:tr w14:paraId="601A7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atLeast"/>
          <w:jc w:val="center"/>
        </w:trPr>
        <w:tc>
          <w:tcPr>
            <w:tcW w:w="3828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FD49CE">
            <w:pPr>
              <w:numPr>
                <w:ilvl w:val="0"/>
                <w:numId w:val="129"/>
              </w:numPr>
              <w:spacing w:before="120" w:beforeLines="50" w:line="360" w:lineRule="atLeast"/>
              <w:ind w:firstLine="52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eastAsia="DengXian"/>
                <w:sz w:val="26"/>
                <w:szCs w:val="26"/>
              </w:rPr>
              <w:t>＞</w:t>
            </w:r>
            <w:r>
              <w:rPr>
                <w:rFonts w:hint="eastAsia" w:ascii="Times New Roman" w:hAnsi="Times New Roman"/>
                <w:sz w:val="26"/>
                <w:szCs w:val="26"/>
              </w:rPr>
              <w:t xml:space="preserve">2 x </w:t>
            </w:r>
            <w:r>
              <w:rPr>
                <w:rFonts w:ascii="Times New Roman" w:hAnsi="Times New Roman"/>
                <w:sz w:val="26"/>
                <w:szCs w:val="26"/>
              </w:rPr>
              <w:t>2</w:t>
            </w:r>
            <w:r>
              <w:rPr>
                <w:rFonts w:hint="eastAsia" w:ascii="Times New Roman" w:hAnsi="Times New Roman"/>
                <w:sz w:val="26"/>
                <w:szCs w:val="26"/>
              </w:rPr>
              <w:t>英呎或面積大於4平方英呎</w:t>
            </w:r>
          </w:p>
          <w:p w14:paraId="4805240D">
            <w:pPr>
              <w:spacing w:before="120" w:line="360" w:lineRule="atLeast"/>
              <w:ind w:left="403" w:firstLine="52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eastAsia="DengXian"/>
                <w:sz w:val="26"/>
                <w:szCs w:val="26"/>
              </w:rPr>
              <w:t>(＞600mm x 600mm</w:t>
            </w:r>
            <w:r>
              <w:rPr>
                <w:rFonts w:hint="eastAsia" w:ascii="Times New Roman" w:hAnsi="Times New Roman"/>
                <w:sz w:val="26"/>
                <w:szCs w:val="26"/>
              </w:rPr>
              <w:t>或面積大於</w:t>
            </w:r>
            <w:r>
              <w:rPr>
                <w:rFonts w:ascii="Times New Roman" w:hAnsi="Times New Roman"/>
                <w:sz w:val="26"/>
                <w:szCs w:val="26"/>
              </w:rPr>
              <w:t>0.36</w:t>
            </w:r>
            <w:r>
              <w:rPr>
                <w:rFonts w:hint="eastAsia" w:ascii="Times New Roman" w:hAnsi="Times New Roman"/>
                <w:sz w:val="26"/>
                <w:szCs w:val="26"/>
              </w:rPr>
              <w:t>平方米</w:t>
            </w:r>
            <w:r>
              <w:rPr>
                <w:rFonts w:ascii="Times New Roman" w:hAnsi="Times New Roman" w:eastAsia="DengXian"/>
                <w:sz w:val="26"/>
                <w:szCs w:val="26"/>
              </w:rPr>
              <w:t>)</w:t>
            </w:r>
          </w:p>
        </w:tc>
        <w:tc>
          <w:tcPr>
            <w:tcW w:w="4677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44D3C1">
            <w:pPr>
              <w:numPr>
                <w:ilvl w:val="0"/>
                <w:numId w:val="131"/>
              </w:numPr>
              <w:spacing w:before="72" w:beforeLines="30" w:after="48" w:afterLines="20" w:line="360" w:lineRule="atLeast"/>
              <w:ind w:left="312" w:firstLine="52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設置合規格圍欄及踢腳板</w:t>
            </w:r>
            <w:r>
              <w:rPr>
                <w:rFonts w:hint="eastAsia" w:ascii="Times New Roman" w:hAnsi="新細明體"/>
                <w:sz w:val="26"/>
                <w:szCs w:val="26"/>
              </w:rPr>
              <w:t>，</w:t>
            </w:r>
            <w:r>
              <w:rPr>
                <w:rFonts w:hint="eastAsia" w:ascii="Times New Roman" w:hAnsi="Times New Roman"/>
                <w:sz w:val="26"/>
                <w:szCs w:val="26"/>
              </w:rPr>
              <w:t>妥善圍封地洞</w:t>
            </w:r>
          </w:p>
          <w:p w14:paraId="537C3C19">
            <w:pPr>
              <w:numPr>
                <w:ilvl w:val="0"/>
                <w:numId w:val="131"/>
              </w:numPr>
              <w:spacing w:before="48" w:beforeLines="20" w:after="48" w:afterLines="20" w:line="360" w:lineRule="atLeast"/>
              <w:ind w:left="313" w:firstLine="5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eastAsia" w:ascii="Times New Roman" w:hAnsi="Times New Roman"/>
                <w:szCs w:val="28"/>
              </w:rPr>
              <w:t>鋪設防墮安全網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