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T033</w:t>
      </w:r>
    </w:p>
    <w:p>
      <w:r>
        <w:t>推定名称：1 / 嚴格遵守《地盤吊運訊號員安全工作指引》及公司相關規定，現場監督吊運訊號員指揮吊運，確保其正確履行其職責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表格序号：33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95"/>
        <w:gridCol w:w="8505"/>
      </w:tblGrid>
      <w:tr w14:paraId="5C967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2495000E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1</w:t>
            </w:r>
          </w:p>
        </w:tc>
        <w:tc>
          <w:tcPr>
            <w:tcW w:w="8505" w:type="dxa"/>
            <w:vAlign w:val="center"/>
          </w:tcPr>
          <w:p w14:paraId="032FD1F6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嚴格遵守《地盤吊運訊號員安全工作指引》及公司相關規定，現場監督吊運訊號員指揮吊運，確保其正確履行其職責</w:t>
            </w:r>
          </w:p>
        </w:tc>
      </w:tr>
      <w:tr w14:paraId="3057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3A04212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505" w:type="dxa"/>
            <w:vAlign w:val="center"/>
          </w:tcPr>
          <w:p w14:paraId="06136005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確保吊運工序嚴格依照《吊運安全守則》的要求</w:t>
            </w:r>
          </w:p>
        </w:tc>
      </w:tr>
      <w:tr w14:paraId="4447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1FE9E40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3</w:t>
            </w:r>
          </w:p>
        </w:tc>
        <w:tc>
          <w:tcPr>
            <w:tcW w:w="8505" w:type="dxa"/>
            <w:vAlign w:val="center"/>
          </w:tcPr>
          <w:p w14:paraId="6ADD3BA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確保起重機操作員、訊號員、埋碼員等有關人員的資格符合相關要求，起重機械及起重裝置標有清晰安全操作負荷並具備有效檢驗證書</w:t>
            </w:r>
          </w:p>
        </w:tc>
      </w:tr>
      <w:tr w14:paraId="686E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E86C8C7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8505" w:type="dxa"/>
            <w:vAlign w:val="center"/>
          </w:tcPr>
          <w:p w14:paraId="13D18883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確保吊運範圍妥善圍封，沒有其他人和機械在內工作，嚴禁任何人站在懸吊物件之下，且附近沒有潛在危險(如架空電纜、附近正進行其他吊運工作等)</w:t>
            </w:r>
          </w:p>
        </w:tc>
      </w:tr>
      <w:tr w14:paraId="6C18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9F396E1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8505" w:type="dxa"/>
            <w:vAlign w:val="center"/>
          </w:tcPr>
          <w:p w14:paraId="10F041C8">
            <w:pPr>
              <w:pStyle w:val="14"/>
              <w:spacing w:before="120"/>
              <w:ind w:left="28" w:leftChars="10" w:right="28" w:rightChars="10" w:firstLine="480"/>
              <w:rPr>
                <w:rFonts w:ascii="Times New Roman" w:hAnsi="Times New Roman" w:cs="FangSong"/>
              </w:rPr>
            </w:pPr>
            <w:r>
              <w:rPr>
                <w:rFonts w:hint="eastAsia" w:ascii="Times New Roman" w:hAnsi="Times New Roman" w:cs="FangSong"/>
              </w:rPr>
              <w:t>確保吊運時起重機處於水平狀態，停放的位置足夠堅實、平坦且能承受吊運期間所產生的負荷</w:t>
            </w:r>
          </w:p>
        </w:tc>
      </w:tr>
      <w:tr w14:paraId="03558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7D890EB0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8505" w:type="dxa"/>
            <w:vAlign w:val="center"/>
          </w:tcPr>
          <w:p w14:paraId="0E057B3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確保起重機進行吊運時處於良好工作狀態(機件沒明顯破損、損耗、漏油等、安全負荷自動顯示器及支撐腳撐等操作正常)</w:t>
            </w:r>
          </w:p>
        </w:tc>
      </w:tr>
      <w:tr w14:paraId="41D7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3E9E394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505" w:type="dxa"/>
            <w:vAlign w:val="center"/>
          </w:tcPr>
          <w:p w14:paraId="3ECC61FC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確保起重機操作員有清晰無阻的視野，且有吊運信號員在現場指揮</w:t>
            </w:r>
          </w:p>
        </w:tc>
      </w:tr>
      <w:tr w14:paraId="7116A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595" w:type="dxa"/>
            <w:vAlign w:val="center"/>
          </w:tcPr>
          <w:p w14:paraId="0D6F6158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8505" w:type="dxa"/>
            <w:vAlign w:val="center"/>
          </w:tcPr>
          <w:p w14:paraId="04F61F2D">
            <w:pPr>
              <w:autoSpaceDE w:val="0"/>
              <w:autoSpaceDN w:val="0"/>
              <w:adjustRightInd w:val="0"/>
              <w:snapToGrid w:val="0"/>
              <w:spacing w:before="72" w:beforeLines="30" w:after="72" w:afterLines="30"/>
              <w:ind w:left="28" w:leftChars="10" w:right="28" w:rightChars="10" w:firstLine="480"/>
              <w:jc w:val="both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如發現任何不安全事項，應向上級及安全管理人員立即匯報並停止吊運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