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T061</w:t>
      </w:r>
    </w:p>
    <w:p>
      <w:r>
        <w:t>推定名称：若前線管理人員在物料吊重機使用過程中，發現樓層安全門或吊籠內門被打開，而地面樓層燈箱沒有正常顯示層數和發出警報，或升降機仍能操作等不正常情況，應立即停用物料吊重機，並通知有關人員進行檢查及維修。</w:t>
      </w:r>
    </w:p>
    <w:p>
      <w:r>
        <w:t>制度上下文：2. 嚴禁使用葫蘆勾(如事先獲得《使用葫蘆勾工作許可證》者除外)。 &gt; 物料吊重機使用流程 &gt; 物料吊重機安全操作守則</w:t>
      </w:r>
    </w:p>
    <w:p>
      <w:r>
        <w:t>来源：安全管理辦法彙編20241025（無修訂版）.docx</w:t>
      </w:r>
    </w:p>
    <w:p>
      <w:r>
        <w:t>表格序号：61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32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835"/>
        <w:gridCol w:w="2268"/>
        <w:gridCol w:w="1984"/>
      </w:tblGrid>
      <w:tr w14:paraId="3CD9EAB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2235" w:type="dxa"/>
            <w:vAlign w:val="center"/>
          </w:tcPr>
          <w:p w14:paraId="70869563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車牌號碼</w:t>
            </w:r>
          </w:p>
        </w:tc>
        <w:tc>
          <w:tcPr>
            <w:tcW w:w="2835" w:type="dxa"/>
            <w:vAlign w:val="center"/>
          </w:tcPr>
          <w:p w14:paraId="761DDD17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72B7AB5F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駕駛人</w:t>
            </w:r>
            <w:r>
              <w:rPr>
                <w:rFonts w:hint="eastAsia" w:ascii="Times New Roman" w:hAnsi="Times New Roman"/>
                <w:sz w:val="26"/>
                <w:szCs w:val="28"/>
              </w:rPr>
              <w:t>員</w:t>
            </w: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姓名</w:t>
            </w:r>
          </w:p>
        </w:tc>
        <w:tc>
          <w:tcPr>
            <w:tcW w:w="1984" w:type="dxa"/>
          </w:tcPr>
          <w:p w14:paraId="0B364AA2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14:paraId="12A4CC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2235" w:type="dxa"/>
            <w:vAlign w:val="center"/>
          </w:tcPr>
          <w:p w14:paraId="0F0E3B5C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發生地點</w:t>
            </w:r>
          </w:p>
        </w:tc>
        <w:tc>
          <w:tcPr>
            <w:tcW w:w="2835" w:type="dxa"/>
            <w:vAlign w:val="center"/>
          </w:tcPr>
          <w:p w14:paraId="3007F9D6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3D08502C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員工編號</w:t>
            </w:r>
          </w:p>
        </w:tc>
        <w:tc>
          <w:tcPr>
            <w:tcW w:w="1984" w:type="dxa"/>
          </w:tcPr>
          <w:p w14:paraId="02F88221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14:paraId="570F14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2235" w:type="dxa"/>
            <w:vAlign w:val="center"/>
          </w:tcPr>
          <w:p w14:paraId="5751EA1B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日期及時間</w:t>
            </w:r>
          </w:p>
        </w:tc>
        <w:tc>
          <w:tcPr>
            <w:tcW w:w="2835" w:type="dxa"/>
            <w:vAlign w:val="center"/>
          </w:tcPr>
          <w:p w14:paraId="7C8EF488">
            <w:pPr>
              <w:spacing w:before="120" w:line="360" w:lineRule="exact"/>
              <w:ind w:firstLine="520"/>
              <w:jc w:val="right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</w:rPr>
              <w:t>/   /    (   :   )</w:t>
            </w:r>
          </w:p>
        </w:tc>
        <w:tc>
          <w:tcPr>
            <w:tcW w:w="2268" w:type="dxa"/>
            <w:vAlign w:val="center"/>
          </w:tcPr>
          <w:p w14:paraId="134806BC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違例/意外類型</w:t>
            </w:r>
          </w:p>
        </w:tc>
        <w:tc>
          <w:tcPr>
            <w:tcW w:w="1984" w:type="dxa"/>
          </w:tcPr>
          <w:p w14:paraId="4D37218E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</w:p>
        </w:tc>
      </w:tr>
      <w:tr w14:paraId="526F50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exact"/>
        </w:trPr>
        <w:tc>
          <w:tcPr>
            <w:tcW w:w="2235" w:type="dxa"/>
            <w:vAlign w:val="center"/>
          </w:tcPr>
          <w:p w14:paraId="7890BE77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人員受傷情況</w:t>
            </w:r>
          </w:p>
        </w:tc>
        <w:tc>
          <w:tcPr>
            <w:tcW w:w="7087" w:type="dxa"/>
            <w:gridSpan w:val="3"/>
            <w:vAlign w:val="center"/>
          </w:tcPr>
          <w:p w14:paraId="63E7E5FF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14:paraId="2DDEBC5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1123" w:hRule="exact"/>
        </w:trPr>
        <w:tc>
          <w:tcPr>
            <w:tcW w:w="2235" w:type="dxa"/>
            <w:vAlign w:val="center"/>
          </w:tcPr>
          <w:p w14:paraId="137A1C9D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車輛損壞情況</w:t>
            </w:r>
          </w:p>
        </w:tc>
        <w:tc>
          <w:tcPr>
            <w:tcW w:w="7087" w:type="dxa"/>
            <w:gridSpan w:val="3"/>
            <w:vAlign w:val="center"/>
          </w:tcPr>
          <w:p w14:paraId="4EA8695C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14:paraId="6ECEAC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exact"/>
        </w:trPr>
        <w:tc>
          <w:tcPr>
            <w:tcW w:w="2235" w:type="dxa"/>
            <w:vAlign w:val="center"/>
          </w:tcPr>
          <w:p w14:paraId="54EC7893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事發經過</w:t>
            </w:r>
          </w:p>
        </w:tc>
        <w:tc>
          <w:tcPr>
            <w:tcW w:w="7087" w:type="dxa"/>
            <w:gridSpan w:val="3"/>
            <w:vAlign w:val="center"/>
          </w:tcPr>
          <w:p w14:paraId="0EDA7BDE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14:paraId="2636AE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2274" w:hRule="exact"/>
        </w:trPr>
        <w:tc>
          <w:tcPr>
            <w:tcW w:w="2235" w:type="dxa"/>
            <w:vAlign w:val="center"/>
          </w:tcPr>
          <w:p w14:paraId="09C2FEBB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改善措施</w:t>
            </w:r>
          </w:p>
        </w:tc>
        <w:tc>
          <w:tcPr>
            <w:tcW w:w="7087" w:type="dxa"/>
            <w:gridSpan w:val="3"/>
            <w:vAlign w:val="center"/>
          </w:tcPr>
          <w:p w14:paraId="18B300E9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14:paraId="4D6AE5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2235" w:type="dxa"/>
            <w:vAlign w:val="center"/>
          </w:tcPr>
          <w:p w14:paraId="1AC6E122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8"/>
                <w:lang w:eastAsia="zh-CN"/>
              </w:rPr>
              <w:t>備註</w:t>
            </w:r>
          </w:p>
        </w:tc>
        <w:tc>
          <w:tcPr>
            <w:tcW w:w="7087" w:type="dxa"/>
            <w:gridSpan w:val="3"/>
            <w:vAlign w:val="center"/>
          </w:tcPr>
          <w:p w14:paraId="5AB784B4">
            <w:pPr>
              <w:spacing w:before="120" w:line="360" w:lineRule="exact"/>
              <w:ind w:firstLine="520"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