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T101</w:t>
      </w:r>
    </w:p>
    <w:p>
      <w:r>
        <w:t>推定名称：1 / 在合資格的人的直接監督下進行搭建、更改或拆卸金屬棚架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表格序号：101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792DE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3B123C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5" w:type="dxa"/>
            <w:vAlign w:val="center"/>
          </w:tcPr>
          <w:p w14:paraId="7DB739B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在合資格的人的直接監督下進行搭建、更改或拆卸金屬棚架</w:t>
            </w:r>
          </w:p>
        </w:tc>
      </w:tr>
      <w:tr w14:paraId="2743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0AB319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505" w:type="dxa"/>
            <w:vAlign w:val="center"/>
          </w:tcPr>
          <w:p w14:paraId="729A5F3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正確使用合規格的個人保護裝備如安全帽、安全帶、防墮器及雙尾繩，並把安全帶尾繩扣在穩固點上</w:t>
            </w:r>
          </w:p>
        </w:tc>
      </w:tr>
      <w:tr w14:paraId="553C5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214033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505" w:type="dxa"/>
            <w:vAlign w:val="center"/>
          </w:tcPr>
          <w:p w14:paraId="04CD5B8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 w:firstLine="480"/>
              <w:jc w:val="both"/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嚴格遵守勞工處編制的《金屬棚架工作安全守則》及公司《搭建及拆卸臨時支架安全守則》及按照《搭建臨時支架(紅架) 安全施工程序》搭建臨時支架</w:t>
            </w:r>
          </w:p>
        </w:tc>
      </w:tr>
      <w:tr w14:paraId="0C6D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72E44F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5" w:type="dxa"/>
            <w:vAlign w:val="center"/>
          </w:tcPr>
          <w:p w14:paraId="1519736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如發現任何不安全事項，或棚架有損毀，應立即向上級及安全管理人員匯報並停止棚架搭建工序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