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T105</w:t>
      </w:r>
    </w:p>
    <w:p>
      <w:r>
        <w:t>推定名称：被委任人 承建商代表/地盤經理</w:t>
      </w:r>
    </w:p>
    <w:p>
      <w:r>
        <w:t>制度上下文：3.加入詳細的密閉空間危險評估表格範本，有關評估報告须於工作完成後保存一年； &gt; 4.在正常大氣壓力下，空氣中氧氣濃度百分比以體積計應不少於百分之十九點五及不多於百分之廿二； &gt; 附件</w:t>
      </w:r>
    </w:p>
    <w:p>
      <w:r>
        <w:t>来源：安全管理辦法彙編20241025（無修訂版）.docx</w:t>
      </w:r>
    </w:p>
    <w:p>
      <w:r>
        <w:t>表格序号：105 / 159</w:t>
      </w:r>
    </w:p>
    <w:sectPr w:rsidR="00FC693F" w:rsidRPr="0006063C" w:rsidSect="00034616">
      <w:pgSz w:w="12240" w:h="15840"/>
      <w:pgMar w:top="1440" w:right="1800" w:bottom="1440" w:left="1800" w:header="720" w:footer="720" w:gutter="0"/>
      <w:cols w:space="720"/>
      <w:docGrid w:linePitch="360"/>
    </w:sectPr>
    <w:tbl>
      <w:tblPr>
        <w:tblStyle w:val="63"/>
        <w:tblW w:w="9102" w:type="dxa"/>
        <w:tblInd w:w="5" w:type="dxa"/>
        <w:tblLayout w:type="autofit"/>
        <w:tblCellMar>
          <w:top w:w="113" w:type="dxa"/>
          <w:left w:w="26" w:type="dxa"/>
          <w:bottom w:w="0" w:type="dxa"/>
          <w:right w:w="0" w:type="dxa"/>
        </w:tblCellMar>
      </w:tblPr>
      <w:tblGrid>
        <w:gridCol w:w="657"/>
        <w:gridCol w:w="8445"/>
      </w:tblGrid>
      <w:tr w14:paraId="06DB3E95">
        <w:tblPrEx>
          <w:tblCellMar>
            <w:top w:w="113" w:type="dxa"/>
            <w:left w:w="26" w:type="dxa"/>
            <w:bottom w:w="0" w:type="dxa"/>
            <w:right w:w="0"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53D47215">
            <w:pPr>
              <w:spacing w:before="120" w:line="259" w:lineRule="auto"/>
              <w:ind w:right="26" w:firstLine="480"/>
              <w:jc w:val="center"/>
              <w:rPr>
                <w:rFonts w:cstheme="minorBidi"/>
              </w:rPr>
            </w:pPr>
            <w:r>
              <w:rPr>
                <w:rFonts w:ascii="Times New Roman" w:hAnsi="Times New Roman" w:eastAsia="Times New Roman" w:cstheme="minorBidi"/>
                <w:sz w:val="24"/>
              </w:rPr>
              <w:t xml:space="preserve">1 </w:t>
            </w:r>
          </w:p>
        </w:tc>
        <w:tc>
          <w:tcPr>
            <w:tcW w:w="8507" w:type="dxa"/>
            <w:tcBorders>
              <w:top w:val="single" w:color="000000" w:sz="4" w:space="0"/>
              <w:left w:val="single" w:color="000000" w:sz="4" w:space="0"/>
              <w:bottom w:val="single" w:color="000000" w:sz="4" w:space="0"/>
              <w:right w:val="single" w:color="000000" w:sz="4" w:space="0"/>
            </w:tcBorders>
            <w:vAlign w:val="center"/>
          </w:tcPr>
          <w:p w14:paraId="18296382">
            <w:pPr>
              <w:spacing w:before="120" w:line="259" w:lineRule="auto"/>
              <w:ind w:left="24" w:firstLine="480"/>
              <w:rPr>
                <w:rFonts w:cstheme="minorBidi"/>
              </w:rPr>
            </w:pPr>
            <w:r>
              <w:rPr>
                <w:rFonts w:cstheme="minorBidi"/>
                <w:sz w:val="24"/>
              </w:rPr>
              <w:t>在所有進入密閉空間工作人員離開密閉空間前，不可離開地盤</w:t>
            </w:r>
            <w:r>
              <w:rPr>
                <w:rFonts w:ascii="Times New Roman" w:hAnsi="Times New Roman" w:eastAsia="Times New Roman" w:cstheme="minorBidi"/>
                <w:sz w:val="24"/>
              </w:rPr>
              <w:t xml:space="preserve"> </w:t>
            </w:r>
          </w:p>
        </w:tc>
      </w:tr>
      <w:tr w14:paraId="783D9B6E">
        <w:tblPrEx>
          <w:tblCellMar>
            <w:top w:w="113" w:type="dxa"/>
            <w:left w:w="26" w:type="dxa"/>
            <w:bottom w:w="0" w:type="dxa"/>
            <w:right w:w="0" w:type="dxa"/>
          </w:tblCellMar>
        </w:tblPrEx>
        <w:trPr>
          <w:trHeight w:val="775" w:hRule="atLeast"/>
        </w:trPr>
        <w:tc>
          <w:tcPr>
            <w:tcW w:w="595" w:type="dxa"/>
            <w:tcBorders>
              <w:top w:val="single" w:color="000000" w:sz="4" w:space="0"/>
              <w:left w:val="single" w:color="000000" w:sz="4" w:space="0"/>
              <w:bottom w:val="single" w:color="000000" w:sz="4" w:space="0"/>
              <w:right w:val="single" w:color="000000" w:sz="4" w:space="0"/>
            </w:tcBorders>
          </w:tcPr>
          <w:p w14:paraId="23FC9121">
            <w:pPr>
              <w:spacing w:before="120" w:line="259" w:lineRule="auto"/>
              <w:ind w:right="26" w:firstLine="480"/>
              <w:jc w:val="center"/>
              <w:rPr>
                <w:rFonts w:cstheme="minorBidi"/>
              </w:rPr>
            </w:pPr>
            <w:r>
              <w:rPr>
                <w:rFonts w:ascii="Times New Roman" w:hAnsi="Times New Roman" w:eastAsia="Times New Roman" w:cstheme="minorBidi"/>
                <w:sz w:val="24"/>
              </w:rPr>
              <w:t xml:space="preserve">2 </w:t>
            </w:r>
          </w:p>
        </w:tc>
        <w:tc>
          <w:tcPr>
            <w:tcW w:w="8507" w:type="dxa"/>
            <w:tcBorders>
              <w:top w:val="single" w:color="000000" w:sz="4" w:space="0"/>
              <w:left w:val="single" w:color="000000" w:sz="4" w:space="0"/>
              <w:bottom w:val="single" w:color="000000" w:sz="4" w:space="0"/>
              <w:right w:val="single" w:color="000000" w:sz="4" w:space="0"/>
            </w:tcBorders>
            <w:vAlign w:val="center"/>
          </w:tcPr>
          <w:p w14:paraId="2B585EE7">
            <w:pPr>
              <w:spacing w:before="120" w:line="259" w:lineRule="auto"/>
              <w:ind w:left="24" w:firstLine="480"/>
              <w:rPr>
                <w:rFonts w:cstheme="minorBidi"/>
              </w:rPr>
            </w:pPr>
            <w:r>
              <w:rPr>
                <w:rFonts w:cstheme="minorBidi"/>
                <w:sz w:val="24"/>
              </w:rPr>
              <w:t>對工作環境和在密閉空間內進行的工作進行風險評估，並就工友進行密閉空間工作時應採取與安全和健康有關的措施提出建議</w:t>
            </w:r>
            <w:r>
              <w:rPr>
                <w:rFonts w:ascii="Times New Roman" w:hAnsi="Times New Roman" w:eastAsia="Times New Roman" w:cstheme="minorBidi"/>
                <w:sz w:val="24"/>
              </w:rPr>
              <w:t xml:space="preserve"> </w:t>
            </w:r>
          </w:p>
        </w:tc>
      </w:tr>
      <w:tr w14:paraId="0B4C0A0D">
        <w:tblPrEx>
          <w:tblCellMar>
            <w:top w:w="113" w:type="dxa"/>
            <w:left w:w="26" w:type="dxa"/>
            <w:bottom w:w="0" w:type="dxa"/>
            <w:right w:w="0" w:type="dxa"/>
          </w:tblCellMar>
        </w:tblPrEx>
        <w:trPr>
          <w:trHeight w:val="4203" w:hRule="atLeast"/>
        </w:trPr>
        <w:tc>
          <w:tcPr>
            <w:tcW w:w="595" w:type="dxa"/>
            <w:tcBorders>
              <w:top w:val="single" w:color="000000" w:sz="4" w:space="0"/>
              <w:left w:val="single" w:color="000000" w:sz="4" w:space="0"/>
              <w:bottom w:val="single" w:color="000000" w:sz="4" w:space="0"/>
              <w:right w:val="single" w:color="000000" w:sz="4" w:space="0"/>
            </w:tcBorders>
          </w:tcPr>
          <w:p w14:paraId="6E80D128">
            <w:pPr>
              <w:spacing w:before="120" w:line="259" w:lineRule="auto"/>
              <w:ind w:right="26" w:firstLine="480"/>
              <w:jc w:val="center"/>
              <w:rPr>
                <w:rFonts w:cstheme="minorBidi"/>
              </w:rPr>
            </w:pPr>
            <w:r>
              <w:rPr>
                <w:rFonts w:ascii="Times New Roman" w:hAnsi="Times New Roman" w:eastAsia="Times New Roman" w:cstheme="minorBidi"/>
                <w:sz w:val="24"/>
              </w:rPr>
              <w:t xml:space="preserve">3 </w:t>
            </w:r>
          </w:p>
        </w:tc>
        <w:tc>
          <w:tcPr>
            <w:tcW w:w="8507" w:type="dxa"/>
            <w:tcBorders>
              <w:top w:val="single" w:color="000000" w:sz="4" w:space="0"/>
              <w:left w:val="single" w:color="000000" w:sz="4" w:space="0"/>
              <w:bottom w:val="single" w:color="000000" w:sz="4" w:space="0"/>
              <w:right w:val="single" w:color="000000" w:sz="4" w:space="0"/>
            </w:tcBorders>
            <w:vAlign w:val="center"/>
          </w:tcPr>
          <w:p w14:paraId="5EE4D1A8">
            <w:pPr>
              <w:spacing w:before="120" w:line="259" w:lineRule="auto"/>
              <w:ind w:left="24" w:right="-66" w:firstLine="480"/>
              <w:rPr>
                <w:rFonts w:cstheme="minorBidi"/>
              </w:rPr>
            </w:pPr>
            <w:r>
              <w:rPr>
                <w:rFonts w:cstheme="minorBidi"/>
                <w:sz w:val="24"/>
              </w:rPr>
              <w:t xml:space="preserve">在履行「指定合資格人士」職責期間不得進入密閉空間。如需要進入密閉空間，應事先取得「地盤授權代表」同意，工務工程、房屋署、醫管局、港鐵及機管局工程需同時取得業主代表同意，「指定合資格人士」應持有有效的「指定核准工友」證書。地盤須在「指定合資格人士」進入密閉空間之前準備單獨的風險評估 </w:t>
            </w:r>
            <w:r>
              <w:rPr>
                <w:rFonts w:ascii="Times New Roman" w:hAnsi="Times New Roman" w:eastAsia="Times New Roman" w:cstheme="minorBidi"/>
                <w:sz w:val="24"/>
              </w:rPr>
              <w:t>(</w:t>
            </w:r>
            <w:r>
              <w:rPr>
                <w:rFonts w:cstheme="minorBidi"/>
                <w:sz w:val="24"/>
              </w:rPr>
              <w:t>並非由打算進入密閉空間的「指定合資格人士」編制</w:t>
            </w:r>
            <w:r>
              <w:rPr>
                <w:rFonts w:ascii="Times New Roman" w:hAnsi="Times New Roman" w:eastAsia="Times New Roman" w:cstheme="minorBidi"/>
                <w:sz w:val="24"/>
              </w:rPr>
              <w:t>)</w:t>
            </w:r>
            <w:r>
              <w:rPr>
                <w:rFonts w:cstheme="minorBidi"/>
                <w:sz w:val="24"/>
              </w:rPr>
              <w:t>和「許可工作證」，並指定一名候命人員，在其不在密閉空間外期間在密閉空間外駐守，以履行候命人員的職責。「指定合資格人士」進入密閉空間僅限於進行臨時監督、檢查、核對、核實或移交工作，並遵守所有必要的密閉空間安全規定及合約規定，以及針對「指定合資格人士」進入密閉空間的風險評估中發現的危險，採取了所有必要的安全預防措施。「指定合資格人士」在該密閉空間停留期間不得從事「指定核准工友」的工作</w:t>
            </w:r>
            <w:r>
              <w:rPr>
                <w:rFonts w:ascii="Times New Roman" w:hAnsi="Times New Roman" w:eastAsia="Times New Roman" w:cstheme="minorBidi"/>
                <w:sz w:val="24"/>
              </w:rPr>
              <w:t xml:space="preserve"> </w:t>
            </w:r>
            <w:r>
              <w:rPr>
                <w:rFonts w:cstheme="minorBidi"/>
                <w:sz w:val="24"/>
              </w:rPr>
              <w:t>。</w:t>
            </w:r>
            <w:r>
              <w:rPr>
                <w:rFonts w:ascii="Times New Roman" w:hAnsi="Times New Roman" w:eastAsia="Times New Roman" w:cstheme="minorBidi"/>
                <w:sz w:val="24"/>
              </w:rPr>
              <w:t>*</w:t>
            </w:r>
            <w:r>
              <w:rPr>
                <w:rFonts w:cstheme="minorBidi"/>
                <w:sz w:val="24"/>
              </w:rPr>
              <w:t>即如原定的「指定合資格人士」須進入密閉空間</w:t>
            </w:r>
            <w:r>
              <w:rPr>
                <w:rFonts w:ascii="Times New Roman" w:hAnsi="Times New Roman" w:eastAsia="Times New Roman" w:cstheme="minorBidi"/>
                <w:sz w:val="24"/>
              </w:rPr>
              <w:t>(</w:t>
            </w:r>
            <w:r>
              <w:rPr>
                <w:rFonts w:cstheme="minorBidi"/>
                <w:sz w:val="24"/>
              </w:rPr>
              <w:t>僅限於進行臨時監督、檢查、核對、核實或移交工作</w:t>
            </w:r>
            <w:r>
              <w:rPr>
                <w:rFonts w:ascii="Times New Roman" w:hAnsi="Times New Roman" w:eastAsia="Times New Roman" w:cstheme="minorBidi"/>
                <w:sz w:val="24"/>
              </w:rPr>
              <w:t>)</w:t>
            </w:r>
            <w:r>
              <w:rPr>
                <w:rFonts w:cstheme="minorBidi"/>
                <w:sz w:val="24"/>
              </w:rPr>
              <w:t>，地盤須委任另一位「指定合資格人士」重新進行風險評估，並重新申請「許可工作證」</w:t>
            </w:r>
            <w:r>
              <w:rPr>
                <w:rFonts w:ascii="Times New Roman" w:hAnsi="Times New Roman" w:eastAsia="Times New Roman" w:cstheme="minorBidi"/>
                <w:sz w:val="24"/>
              </w:rPr>
              <w:t xml:space="preserve"> </w:t>
            </w:r>
          </w:p>
        </w:tc>
      </w:tr>
      <w:tr w14:paraId="2A38F30D">
        <w:tblPrEx>
          <w:tblCellMar>
            <w:top w:w="113" w:type="dxa"/>
            <w:left w:w="26" w:type="dxa"/>
            <w:bottom w:w="0" w:type="dxa"/>
            <w:right w:w="0" w:type="dxa"/>
          </w:tblCellMar>
        </w:tblPrEx>
        <w:trPr>
          <w:trHeight w:val="463"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7F2A5D66">
            <w:pPr>
              <w:spacing w:before="120" w:line="259" w:lineRule="auto"/>
              <w:ind w:right="26" w:firstLine="480"/>
              <w:jc w:val="center"/>
              <w:rPr>
                <w:rFonts w:cstheme="minorBidi"/>
              </w:rPr>
            </w:pPr>
            <w:r>
              <w:rPr>
                <w:rFonts w:ascii="Times New Roman" w:hAnsi="Times New Roman" w:eastAsia="Times New Roman" w:cstheme="minorBidi"/>
                <w:sz w:val="24"/>
              </w:rPr>
              <w:t xml:space="preserve">4 </w:t>
            </w:r>
          </w:p>
        </w:tc>
        <w:tc>
          <w:tcPr>
            <w:tcW w:w="8507" w:type="dxa"/>
            <w:tcBorders>
              <w:top w:val="single" w:color="000000" w:sz="4" w:space="0"/>
              <w:left w:val="single" w:color="000000" w:sz="4" w:space="0"/>
              <w:bottom w:val="single" w:color="000000" w:sz="4" w:space="0"/>
              <w:right w:val="single" w:color="000000" w:sz="4" w:space="0"/>
            </w:tcBorders>
            <w:vAlign w:val="center"/>
          </w:tcPr>
          <w:p w14:paraId="174E199A">
            <w:pPr>
              <w:spacing w:before="120" w:line="259" w:lineRule="auto"/>
              <w:ind w:firstLine="480"/>
              <w:rPr>
                <w:rFonts w:cstheme="minorBidi"/>
              </w:rPr>
            </w:pPr>
            <w:r>
              <w:rPr>
                <w:rFonts w:cstheme="minorBidi"/>
                <w:sz w:val="24"/>
              </w:rPr>
              <w:t>就相關密閉空間的獨有特徵，向施工團隊提供工作前的講解</w:t>
            </w:r>
            <w:r>
              <w:rPr>
                <w:rFonts w:ascii="Times New Roman" w:hAnsi="Times New Roman" w:eastAsia="Times New Roman" w:cstheme="minorBidi"/>
                <w:sz w:val="24"/>
              </w:rPr>
              <w:t xml:space="preserve"> </w:t>
            </w:r>
          </w:p>
        </w:tc>
      </w:tr>
      <w:tr w14:paraId="368886F2">
        <w:tblPrEx>
          <w:tblCellMar>
            <w:top w:w="113" w:type="dxa"/>
            <w:left w:w="26" w:type="dxa"/>
            <w:bottom w:w="0" w:type="dxa"/>
            <w:right w:w="0"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65D105D9">
            <w:pPr>
              <w:spacing w:before="120" w:line="259" w:lineRule="auto"/>
              <w:ind w:right="26" w:firstLine="480"/>
              <w:jc w:val="center"/>
              <w:rPr>
                <w:rFonts w:cstheme="minorBidi"/>
              </w:rPr>
            </w:pPr>
            <w:r>
              <w:rPr>
                <w:rFonts w:ascii="Times New Roman" w:hAnsi="Times New Roman" w:eastAsia="Times New Roman" w:cstheme="minorBidi"/>
                <w:sz w:val="24"/>
              </w:rPr>
              <w:t xml:space="preserve">5 </w:t>
            </w:r>
          </w:p>
        </w:tc>
        <w:tc>
          <w:tcPr>
            <w:tcW w:w="8507" w:type="dxa"/>
            <w:tcBorders>
              <w:top w:val="single" w:color="000000" w:sz="4" w:space="0"/>
              <w:left w:val="single" w:color="000000" w:sz="4" w:space="0"/>
              <w:bottom w:val="single" w:color="000000" w:sz="4" w:space="0"/>
              <w:right w:val="single" w:color="000000" w:sz="4" w:space="0"/>
            </w:tcBorders>
            <w:vAlign w:val="center"/>
          </w:tcPr>
          <w:p w14:paraId="1EDA44A7">
            <w:pPr>
              <w:spacing w:before="120" w:line="259" w:lineRule="auto"/>
              <w:ind w:firstLine="480"/>
              <w:rPr>
                <w:rFonts w:cstheme="minorBidi"/>
              </w:rPr>
            </w:pPr>
            <w:r>
              <w:rPr>
                <w:rFonts w:cstheme="minorBidi"/>
                <w:sz w:val="24"/>
              </w:rPr>
              <w:t>向「指定核准工友」講解有關安全風險和在進入密閉空間前須採取的安全措施</w:t>
            </w:r>
            <w:r>
              <w:rPr>
                <w:rFonts w:ascii="Times New Roman" w:hAnsi="Times New Roman" w:eastAsia="Times New Roman" w:cstheme="minorBidi"/>
                <w:sz w:val="24"/>
              </w:rPr>
              <w:t xml:space="preserve"> </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