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表格模板 T106</w:t>
      </w:r>
    </w:p>
    <w:p>
      <w:r>
        <w:t>推定名称：被委任人 承建商代表/地盤經理</w:t>
      </w:r>
    </w:p>
    <w:p>
      <w:r>
        <w:t>制度上下文：3.加入詳細的密閉空間危險評估表格範本，有關評估報告须於工作完成後保存一年； &gt; 4.在正常大氣壓力下，空氣中氧氣濃度百分比以體積計應不少於百分之十九點五及不多於百分之廿二； &gt; 附件</w:t>
      </w:r>
    </w:p>
    <w:p>
      <w:r>
        <w:t>来源：安全管理辦法彙編20241025（無修訂版）.docx</w:t>
      </w:r>
    </w:p>
    <w:p>
      <w:r>
        <w:t>表格序号：106 / 159</w:t>
      </w:r>
    </w:p>
    <w:sectPr w:rsidR="00FC693F" w:rsidRPr="0006063C" w:rsidSect="00034616">
      <w:pgSz w:w="12240" w:h="15840"/>
      <w:pgMar w:top="1440" w:right="1800" w:bottom="1440" w:left="1800" w:header="720" w:footer="720" w:gutter="0"/>
      <w:cols w:space="720"/>
      <w:docGrid w:linePitch="360"/>
    </w:sectPr>
    <w:tbl>
      <w:tblPr>
        <w:tblStyle w:val="63"/>
        <w:tblW w:w="9102" w:type="dxa"/>
        <w:tblInd w:w="5" w:type="dxa"/>
        <w:tblLayout w:type="autofit"/>
        <w:tblCellMar>
          <w:top w:w="113" w:type="dxa"/>
          <w:left w:w="26" w:type="dxa"/>
          <w:bottom w:w="0" w:type="dxa"/>
          <w:right w:w="57" w:type="dxa"/>
        </w:tblCellMar>
      </w:tblPr>
      <w:tblGrid>
        <w:gridCol w:w="954"/>
        <w:gridCol w:w="8148"/>
      </w:tblGrid>
      <w:tr w14:paraId="578AC446">
        <w:tblPrEx>
          <w:tblCellMar>
            <w:top w:w="113" w:type="dxa"/>
            <w:left w:w="26" w:type="dxa"/>
            <w:bottom w:w="0" w:type="dxa"/>
            <w:right w:w="57" w:type="dxa"/>
          </w:tblCellMar>
        </w:tblPrEx>
        <w:trPr>
          <w:trHeight w:val="466" w:hRule="atLeast"/>
        </w:trPr>
        <w:tc>
          <w:tcPr>
            <w:tcW w:w="595" w:type="dxa"/>
            <w:tcBorders>
              <w:top w:val="single" w:color="000000" w:sz="4" w:space="0"/>
              <w:left w:val="single" w:color="000000" w:sz="4" w:space="0"/>
              <w:bottom w:val="single" w:color="000000" w:sz="4" w:space="0"/>
              <w:right w:val="single" w:color="000000" w:sz="4" w:space="0"/>
            </w:tcBorders>
          </w:tcPr>
          <w:p w14:paraId="480DC2E0">
            <w:pPr>
              <w:spacing w:before="120" w:line="259" w:lineRule="auto"/>
              <w:ind w:left="30" w:firstLine="480"/>
              <w:jc w:val="center"/>
              <w:rPr>
                <w:rFonts w:cstheme="minorBidi"/>
              </w:rPr>
            </w:pPr>
            <w:r>
              <w:rPr>
                <w:rFonts w:ascii="Times New Roman" w:hAnsi="Times New Roman" w:eastAsia="Times New Roman" w:cstheme="minorBidi"/>
                <w:sz w:val="24"/>
              </w:rPr>
              <w:t xml:space="preserve">1 </w:t>
            </w:r>
          </w:p>
        </w:tc>
        <w:tc>
          <w:tcPr>
            <w:tcW w:w="8507" w:type="dxa"/>
            <w:tcBorders>
              <w:top w:val="single" w:color="000000" w:sz="4" w:space="0"/>
              <w:left w:val="single" w:color="000000" w:sz="4" w:space="0"/>
              <w:bottom w:val="single" w:color="000000" w:sz="4" w:space="0"/>
              <w:right w:val="single" w:color="000000" w:sz="4" w:space="0"/>
            </w:tcBorders>
            <w:vAlign w:val="center"/>
          </w:tcPr>
          <w:p w14:paraId="52F9E31D">
            <w:pPr>
              <w:spacing w:before="120" w:line="259" w:lineRule="auto"/>
              <w:ind w:left="24" w:firstLine="480"/>
              <w:rPr>
                <w:rFonts w:cstheme="minorBidi"/>
              </w:rPr>
            </w:pPr>
            <w:r>
              <w:rPr>
                <w:rFonts w:cstheme="minorBidi"/>
                <w:sz w:val="24"/>
              </w:rPr>
              <w:t>在未有申請進入密閉空間「許可工作證」的情況下，不可擅自進入密閉空間內</w:t>
            </w:r>
            <w:r>
              <w:rPr>
                <w:rFonts w:ascii="Times New Roman" w:hAnsi="Times New Roman" w:eastAsia="Times New Roman" w:cstheme="minorBidi"/>
                <w:sz w:val="24"/>
              </w:rPr>
              <w:t xml:space="preserve"> </w:t>
            </w:r>
          </w:p>
        </w:tc>
      </w:tr>
      <w:tr w14:paraId="1A5A0346">
        <w:tblPrEx>
          <w:tblCellMar>
            <w:top w:w="113" w:type="dxa"/>
            <w:left w:w="26" w:type="dxa"/>
            <w:bottom w:w="0" w:type="dxa"/>
            <w:right w:w="57" w:type="dxa"/>
          </w:tblCellMar>
        </w:tblPrEx>
        <w:trPr>
          <w:trHeight w:val="775" w:hRule="atLeast"/>
        </w:trPr>
        <w:tc>
          <w:tcPr>
            <w:tcW w:w="595" w:type="dxa"/>
            <w:tcBorders>
              <w:top w:val="single" w:color="000000" w:sz="4" w:space="0"/>
              <w:left w:val="single" w:color="000000" w:sz="4" w:space="0"/>
              <w:bottom w:val="single" w:color="000000" w:sz="4" w:space="0"/>
              <w:right w:val="single" w:color="000000" w:sz="4" w:space="0"/>
            </w:tcBorders>
            <w:vAlign w:val="center"/>
          </w:tcPr>
          <w:p w14:paraId="01988B1F">
            <w:pPr>
              <w:spacing w:before="120" w:line="259" w:lineRule="auto"/>
              <w:ind w:left="30" w:firstLine="480"/>
              <w:jc w:val="center"/>
              <w:rPr>
                <w:rFonts w:cstheme="minorBidi"/>
              </w:rPr>
            </w:pPr>
            <w:r>
              <w:rPr>
                <w:rFonts w:ascii="Times New Roman" w:hAnsi="Times New Roman" w:eastAsia="Times New Roman" w:cstheme="minorBidi"/>
                <w:sz w:val="24"/>
              </w:rPr>
              <w:t xml:space="preserve">2 </w:t>
            </w:r>
          </w:p>
        </w:tc>
        <w:tc>
          <w:tcPr>
            <w:tcW w:w="8507" w:type="dxa"/>
            <w:tcBorders>
              <w:top w:val="single" w:color="000000" w:sz="4" w:space="0"/>
              <w:left w:val="single" w:color="000000" w:sz="4" w:space="0"/>
              <w:bottom w:val="single" w:color="000000" w:sz="4" w:space="0"/>
              <w:right w:val="single" w:color="000000" w:sz="4" w:space="0"/>
            </w:tcBorders>
            <w:vAlign w:val="center"/>
          </w:tcPr>
          <w:p w14:paraId="541DE7FF">
            <w:pPr>
              <w:spacing w:before="120" w:line="259" w:lineRule="auto"/>
              <w:ind w:left="24" w:firstLine="480"/>
              <w:rPr>
                <w:rFonts w:cstheme="minorBidi"/>
              </w:rPr>
            </w:pPr>
            <w:r>
              <w:rPr>
                <w:rFonts w:cstheme="minorBidi"/>
                <w:sz w:val="24"/>
              </w:rPr>
              <w:t>根據風險評估報告及安全施工程序要求佩戴及使用合適的安全防護裝備或緊急救援設備，包括全身式安全帶連接獨立救生繩</w:t>
            </w:r>
            <w:r>
              <w:rPr>
                <w:rFonts w:ascii="Times New Roman" w:hAnsi="Times New Roman" w:eastAsia="Times New Roman" w:cstheme="minorBidi"/>
                <w:sz w:val="24"/>
              </w:rPr>
              <w:t xml:space="preserve"> </w:t>
            </w:r>
          </w:p>
        </w:tc>
      </w:tr>
      <w:tr w14:paraId="630A5357">
        <w:tblPrEx>
          <w:tblCellMar>
            <w:top w:w="113" w:type="dxa"/>
            <w:left w:w="26" w:type="dxa"/>
            <w:bottom w:w="0" w:type="dxa"/>
            <w:right w:w="57" w:type="dxa"/>
          </w:tblCellMar>
        </w:tblPrEx>
        <w:trPr>
          <w:trHeight w:val="466" w:hRule="atLeast"/>
        </w:trPr>
        <w:tc>
          <w:tcPr>
            <w:tcW w:w="595" w:type="dxa"/>
            <w:tcBorders>
              <w:top w:val="single" w:color="000000" w:sz="4" w:space="0"/>
              <w:left w:val="single" w:color="000000" w:sz="4" w:space="0"/>
              <w:bottom w:val="single" w:color="000000" w:sz="4" w:space="0"/>
              <w:right w:val="single" w:color="000000" w:sz="4" w:space="0"/>
            </w:tcBorders>
          </w:tcPr>
          <w:p w14:paraId="0A3C4703">
            <w:pPr>
              <w:spacing w:before="120" w:line="259" w:lineRule="auto"/>
              <w:ind w:left="30" w:firstLine="480"/>
              <w:jc w:val="center"/>
              <w:rPr>
                <w:rFonts w:cstheme="minorBidi"/>
              </w:rPr>
            </w:pPr>
            <w:r>
              <w:rPr>
                <w:rFonts w:ascii="Times New Roman" w:hAnsi="Times New Roman" w:eastAsia="Times New Roman" w:cstheme="minorBidi"/>
                <w:sz w:val="24"/>
              </w:rPr>
              <w:t xml:space="preserve">3 </w:t>
            </w:r>
          </w:p>
        </w:tc>
        <w:tc>
          <w:tcPr>
            <w:tcW w:w="8507" w:type="dxa"/>
            <w:tcBorders>
              <w:top w:val="single" w:color="000000" w:sz="4" w:space="0"/>
              <w:left w:val="single" w:color="000000" w:sz="4" w:space="0"/>
              <w:bottom w:val="single" w:color="000000" w:sz="4" w:space="0"/>
              <w:right w:val="single" w:color="000000" w:sz="4" w:space="0"/>
            </w:tcBorders>
            <w:vAlign w:val="center"/>
          </w:tcPr>
          <w:p w14:paraId="457CE281">
            <w:pPr>
              <w:spacing w:before="120" w:line="259" w:lineRule="auto"/>
              <w:ind w:left="24" w:firstLine="480"/>
              <w:rPr>
                <w:rFonts w:cstheme="minorBidi"/>
              </w:rPr>
            </w:pPr>
            <w:r>
              <w:rPr>
                <w:rFonts w:cstheme="minorBidi"/>
                <w:sz w:val="24"/>
              </w:rPr>
              <w:t>與在密閉空間外駐守的候命人員保持聯絡及聽從指示</w:t>
            </w:r>
            <w:r>
              <w:rPr>
                <w:rFonts w:ascii="Times New Roman" w:hAnsi="Times New Roman" w:eastAsia="Times New Roman" w:cstheme="minorBidi"/>
                <w:sz w:val="24"/>
              </w:rPr>
              <w:t xml:space="preserve"> </w:t>
            </w:r>
          </w:p>
        </w:tc>
      </w:tr>
      <w:tr w14:paraId="7EDDC3E8">
        <w:tblPrEx>
          <w:tblCellMar>
            <w:top w:w="113" w:type="dxa"/>
            <w:left w:w="26" w:type="dxa"/>
            <w:bottom w:w="0" w:type="dxa"/>
            <w:right w:w="57" w:type="dxa"/>
          </w:tblCellMar>
        </w:tblPrEx>
        <w:trPr>
          <w:trHeight w:val="778" w:hRule="atLeast"/>
        </w:trPr>
        <w:tc>
          <w:tcPr>
            <w:tcW w:w="595" w:type="dxa"/>
            <w:tcBorders>
              <w:top w:val="single" w:color="000000" w:sz="4" w:space="0"/>
              <w:left w:val="single" w:color="000000" w:sz="4" w:space="0"/>
              <w:bottom w:val="single" w:color="000000" w:sz="4" w:space="0"/>
              <w:right w:val="single" w:color="000000" w:sz="4" w:space="0"/>
            </w:tcBorders>
            <w:vAlign w:val="center"/>
          </w:tcPr>
          <w:p w14:paraId="1E2C20B3">
            <w:pPr>
              <w:spacing w:before="120" w:line="259" w:lineRule="auto"/>
              <w:ind w:left="30" w:firstLine="480"/>
              <w:jc w:val="center"/>
              <w:rPr>
                <w:rFonts w:cstheme="minorBidi"/>
              </w:rPr>
            </w:pPr>
            <w:r>
              <w:rPr>
                <w:rFonts w:ascii="Times New Roman" w:hAnsi="Times New Roman" w:eastAsia="Times New Roman" w:cstheme="minorBidi"/>
                <w:sz w:val="24"/>
              </w:rPr>
              <w:t xml:space="preserve">4 </w:t>
            </w:r>
          </w:p>
        </w:tc>
        <w:tc>
          <w:tcPr>
            <w:tcW w:w="8507" w:type="dxa"/>
            <w:tcBorders>
              <w:top w:val="single" w:color="000000" w:sz="4" w:space="0"/>
              <w:left w:val="single" w:color="000000" w:sz="4" w:space="0"/>
              <w:bottom w:val="single" w:color="000000" w:sz="4" w:space="0"/>
              <w:right w:val="single" w:color="000000" w:sz="4" w:space="0"/>
            </w:tcBorders>
            <w:vAlign w:val="center"/>
          </w:tcPr>
          <w:p w14:paraId="1DEF42AE">
            <w:pPr>
              <w:spacing w:before="120" w:line="259" w:lineRule="auto"/>
              <w:ind w:firstLine="480"/>
              <w:rPr>
                <w:rFonts w:cstheme="minorBidi"/>
              </w:rPr>
            </w:pPr>
            <w:r>
              <w:rPr>
                <w:rFonts w:cstheme="minorBidi"/>
                <w:sz w:val="24"/>
              </w:rPr>
              <w:t>在密閉空間工作期間，須帶備空氣監測設備及隨身佩戴附有聲光警報功能的動態感應警報器</w:t>
            </w:r>
            <w:r>
              <w:rPr>
                <w:rFonts w:ascii="Times New Roman" w:hAnsi="Times New Roman" w:eastAsia="Times New Roman" w:cstheme="minorBidi"/>
                <w:sz w:val="24"/>
              </w:rPr>
              <w:t>(</w:t>
            </w:r>
            <w:r>
              <w:rPr>
                <w:rFonts w:cstheme="minorBidi"/>
                <w:sz w:val="24"/>
              </w:rPr>
              <w:t>俗稱懶人鐘</w:t>
            </w:r>
            <w:r>
              <w:rPr>
                <w:rFonts w:ascii="Times New Roman" w:hAnsi="Times New Roman" w:eastAsia="Times New Roman" w:cstheme="minorBidi"/>
                <w:sz w:val="24"/>
              </w:rPr>
              <w:t xml:space="preserve">) </w:t>
            </w:r>
          </w:p>
        </w:tc>
      </w:tr>
      <w:tr w14:paraId="2DEFD7A1">
        <w:tblPrEx>
          <w:tblCellMar>
            <w:top w:w="113" w:type="dxa"/>
            <w:left w:w="26" w:type="dxa"/>
            <w:bottom w:w="0" w:type="dxa"/>
            <w:right w:w="57" w:type="dxa"/>
          </w:tblCellMar>
        </w:tblPrEx>
        <w:trPr>
          <w:trHeight w:val="466" w:hRule="atLeast"/>
        </w:trPr>
        <w:tc>
          <w:tcPr>
            <w:tcW w:w="595" w:type="dxa"/>
            <w:tcBorders>
              <w:top w:val="single" w:color="000000" w:sz="4" w:space="0"/>
              <w:left w:val="single" w:color="000000" w:sz="4" w:space="0"/>
              <w:bottom w:val="single" w:color="000000" w:sz="4" w:space="0"/>
              <w:right w:val="single" w:color="000000" w:sz="4" w:space="0"/>
            </w:tcBorders>
          </w:tcPr>
          <w:p w14:paraId="1CB18C0D">
            <w:pPr>
              <w:spacing w:before="120" w:line="259" w:lineRule="auto"/>
              <w:ind w:left="30" w:firstLine="480"/>
              <w:jc w:val="center"/>
              <w:rPr>
                <w:rFonts w:cstheme="minorBidi"/>
              </w:rPr>
            </w:pPr>
            <w:r>
              <w:rPr>
                <w:rFonts w:ascii="Times New Roman" w:hAnsi="Times New Roman" w:eastAsia="Times New Roman" w:cstheme="minorBidi"/>
                <w:sz w:val="24"/>
              </w:rPr>
              <w:t xml:space="preserve">5 </w:t>
            </w:r>
          </w:p>
        </w:tc>
        <w:tc>
          <w:tcPr>
            <w:tcW w:w="8507" w:type="dxa"/>
            <w:tcBorders>
              <w:top w:val="single" w:color="000000" w:sz="4" w:space="0"/>
              <w:left w:val="single" w:color="000000" w:sz="4" w:space="0"/>
              <w:bottom w:val="single" w:color="000000" w:sz="4" w:space="0"/>
              <w:right w:val="single" w:color="000000" w:sz="4" w:space="0"/>
            </w:tcBorders>
            <w:vAlign w:val="center"/>
          </w:tcPr>
          <w:p w14:paraId="6256906F">
            <w:pPr>
              <w:spacing w:before="120" w:line="259" w:lineRule="auto"/>
              <w:ind w:firstLine="480"/>
              <w:rPr>
                <w:rFonts w:cstheme="minorBidi"/>
              </w:rPr>
            </w:pPr>
            <w:r>
              <w:rPr>
                <w:rFonts w:cstheme="minorBidi"/>
                <w:sz w:val="24"/>
              </w:rPr>
              <w:t>依照施工方案、安全施工程序及安全守則施工</w:t>
            </w:r>
            <w:r>
              <w:rPr>
                <w:rFonts w:ascii="Times New Roman" w:hAnsi="Times New Roman" w:eastAsia="Times New Roman" w:cstheme="minorBidi"/>
                <w:sz w:val="24"/>
              </w:rPr>
              <w:t xml:space="preserve"> </w:t>
            </w:r>
          </w:p>
        </w:tc>
      </w:tr>
      <w:tr w14:paraId="4A96F772">
        <w:tblPrEx>
          <w:tblCellMar>
            <w:top w:w="113" w:type="dxa"/>
            <w:left w:w="26" w:type="dxa"/>
            <w:bottom w:w="0" w:type="dxa"/>
            <w:right w:w="57" w:type="dxa"/>
          </w:tblCellMar>
        </w:tblPrEx>
        <w:trPr>
          <w:trHeight w:val="466" w:hRule="atLeast"/>
        </w:trPr>
        <w:tc>
          <w:tcPr>
            <w:tcW w:w="595" w:type="dxa"/>
            <w:tcBorders>
              <w:top w:val="single" w:color="000000" w:sz="4" w:space="0"/>
              <w:left w:val="single" w:color="000000" w:sz="4" w:space="0"/>
              <w:bottom w:val="single" w:color="000000" w:sz="4" w:space="0"/>
              <w:right w:val="single" w:color="000000" w:sz="4" w:space="0"/>
            </w:tcBorders>
          </w:tcPr>
          <w:p w14:paraId="65300524">
            <w:pPr>
              <w:spacing w:before="120" w:line="259" w:lineRule="auto"/>
              <w:ind w:left="30" w:firstLine="480"/>
              <w:jc w:val="center"/>
              <w:rPr>
                <w:rFonts w:cstheme="minorBidi"/>
              </w:rPr>
            </w:pPr>
            <w:r>
              <w:rPr>
                <w:rFonts w:ascii="Times New Roman" w:hAnsi="Times New Roman" w:eastAsia="Times New Roman" w:cstheme="minorBidi"/>
                <w:sz w:val="24"/>
              </w:rPr>
              <w:t xml:space="preserve">6 </w:t>
            </w:r>
          </w:p>
        </w:tc>
        <w:tc>
          <w:tcPr>
            <w:tcW w:w="8507" w:type="dxa"/>
            <w:tcBorders>
              <w:top w:val="single" w:color="000000" w:sz="4" w:space="0"/>
              <w:left w:val="single" w:color="000000" w:sz="4" w:space="0"/>
              <w:bottom w:val="single" w:color="000000" w:sz="4" w:space="0"/>
              <w:right w:val="single" w:color="000000" w:sz="4" w:space="0"/>
            </w:tcBorders>
            <w:vAlign w:val="center"/>
          </w:tcPr>
          <w:p w14:paraId="7E42251E">
            <w:pPr>
              <w:spacing w:before="120" w:line="259" w:lineRule="auto"/>
              <w:ind w:firstLine="480"/>
              <w:rPr>
                <w:rFonts w:cstheme="minorBidi"/>
              </w:rPr>
            </w:pPr>
            <w:r>
              <w:rPr>
                <w:rFonts w:cstheme="minorBidi"/>
                <w:sz w:val="24"/>
              </w:rPr>
              <w:t>將安全鍊等放置在設有合適臨時阻截裝置的沙井中，尤其在工作區域的下游</w:t>
            </w:r>
            <w:r>
              <w:rPr>
                <w:rFonts w:ascii="Times New Roman" w:hAnsi="Times New Roman" w:eastAsia="Times New Roman" w:cstheme="minorBidi"/>
                <w:sz w:val="24"/>
              </w:rPr>
              <w:t xml:space="preserve"> </w:t>
            </w:r>
          </w:p>
        </w:tc>
      </w:tr>
      <w:tr w14:paraId="059F59E0">
        <w:tblPrEx>
          <w:tblCellMar>
            <w:top w:w="113" w:type="dxa"/>
            <w:left w:w="26" w:type="dxa"/>
            <w:bottom w:w="0" w:type="dxa"/>
            <w:right w:w="57" w:type="dxa"/>
          </w:tblCellMar>
        </w:tblPrEx>
        <w:trPr>
          <w:trHeight w:val="463" w:hRule="atLeast"/>
        </w:trPr>
        <w:tc>
          <w:tcPr>
            <w:tcW w:w="595" w:type="dxa"/>
            <w:tcBorders>
              <w:top w:val="single" w:color="000000" w:sz="4" w:space="0"/>
              <w:left w:val="single" w:color="000000" w:sz="4" w:space="0"/>
              <w:bottom w:val="single" w:color="000000" w:sz="4" w:space="0"/>
              <w:right w:val="single" w:color="000000" w:sz="4" w:space="0"/>
            </w:tcBorders>
          </w:tcPr>
          <w:p w14:paraId="1C9F9A85">
            <w:pPr>
              <w:spacing w:before="120" w:line="259" w:lineRule="auto"/>
              <w:ind w:left="30" w:firstLine="480"/>
              <w:jc w:val="center"/>
              <w:rPr>
                <w:rFonts w:cstheme="minorBidi"/>
              </w:rPr>
            </w:pPr>
            <w:r>
              <w:rPr>
                <w:rFonts w:ascii="Times New Roman" w:hAnsi="Times New Roman" w:eastAsia="Times New Roman" w:cstheme="minorBidi"/>
                <w:sz w:val="24"/>
              </w:rPr>
              <w:t xml:space="preserve">7 </w:t>
            </w:r>
          </w:p>
        </w:tc>
        <w:tc>
          <w:tcPr>
            <w:tcW w:w="8507" w:type="dxa"/>
            <w:tcBorders>
              <w:top w:val="single" w:color="000000" w:sz="4" w:space="0"/>
              <w:left w:val="single" w:color="000000" w:sz="4" w:space="0"/>
              <w:bottom w:val="single" w:color="000000" w:sz="4" w:space="0"/>
              <w:right w:val="single" w:color="000000" w:sz="4" w:space="0"/>
            </w:tcBorders>
            <w:vAlign w:val="center"/>
          </w:tcPr>
          <w:p w14:paraId="31F7AC72">
            <w:pPr>
              <w:spacing w:before="120" w:line="259" w:lineRule="auto"/>
              <w:ind w:firstLine="480"/>
              <w:rPr>
                <w:rFonts w:cstheme="minorBidi"/>
              </w:rPr>
            </w:pPr>
            <w:r>
              <w:rPr>
                <w:rFonts w:cstheme="minorBidi"/>
                <w:sz w:val="24"/>
              </w:rPr>
              <w:t>避免攪動淤泥，如不可避免時，須經常檢查是否存在有害或有毒氣體</w:t>
            </w:r>
            <w:r>
              <w:rPr>
                <w:rFonts w:ascii="Times New Roman" w:hAnsi="Times New Roman" w:eastAsia="Times New Roman" w:cstheme="minorBidi"/>
                <w:sz w:val="24"/>
              </w:rPr>
              <w:t xml:space="preserve"> </w:t>
            </w:r>
          </w:p>
        </w:tc>
      </w:tr>
      <w:tr w14:paraId="737F6CD3">
        <w:tblPrEx>
          <w:tblCellMar>
            <w:top w:w="113" w:type="dxa"/>
            <w:left w:w="26" w:type="dxa"/>
            <w:bottom w:w="0" w:type="dxa"/>
            <w:right w:w="57" w:type="dxa"/>
          </w:tblCellMar>
        </w:tblPrEx>
        <w:trPr>
          <w:trHeight w:val="778" w:hRule="atLeast"/>
        </w:trPr>
        <w:tc>
          <w:tcPr>
            <w:tcW w:w="595" w:type="dxa"/>
            <w:tcBorders>
              <w:top w:val="single" w:color="000000" w:sz="4" w:space="0"/>
              <w:left w:val="single" w:color="000000" w:sz="4" w:space="0"/>
              <w:bottom w:val="single" w:color="000000" w:sz="4" w:space="0"/>
              <w:right w:val="single" w:color="000000" w:sz="4" w:space="0"/>
            </w:tcBorders>
            <w:vAlign w:val="center"/>
          </w:tcPr>
          <w:p w14:paraId="4D478C4A">
            <w:pPr>
              <w:spacing w:before="120" w:line="259" w:lineRule="auto"/>
              <w:ind w:left="30" w:firstLine="480"/>
              <w:jc w:val="center"/>
              <w:rPr>
                <w:rFonts w:cstheme="minorBidi"/>
              </w:rPr>
            </w:pPr>
            <w:r>
              <w:rPr>
                <w:rFonts w:ascii="Times New Roman" w:hAnsi="Times New Roman" w:eastAsia="Times New Roman" w:cstheme="minorBidi"/>
                <w:sz w:val="24"/>
              </w:rPr>
              <w:t xml:space="preserve">8 </w:t>
            </w:r>
          </w:p>
        </w:tc>
        <w:tc>
          <w:tcPr>
            <w:tcW w:w="8507" w:type="dxa"/>
            <w:tcBorders>
              <w:top w:val="single" w:color="000000" w:sz="4" w:space="0"/>
              <w:left w:val="single" w:color="000000" w:sz="4" w:space="0"/>
              <w:bottom w:val="single" w:color="000000" w:sz="4" w:space="0"/>
              <w:right w:val="single" w:color="000000" w:sz="4" w:space="0"/>
            </w:tcBorders>
            <w:vAlign w:val="center"/>
          </w:tcPr>
          <w:p w14:paraId="4CDDC946">
            <w:pPr>
              <w:spacing w:before="120" w:line="259" w:lineRule="auto"/>
              <w:ind w:firstLine="480"/>
              <w:rPr>
                <w:rFonts w:cstheme="minorBidi"/>
              </w:rPr>
            </w:pPr>
            <w:r>
              <w:rPr>
                <w:rFonts w:cstheme="minorBidi"/>
                <w:sz w:val="24"/>
              </w:rPr>
              <w:t>留意危險跡象，包括水流量突然增加、有灼熱或有異味的釋出物跡象、空氣監測設備讀數出現變化，以及身體不適等</w:t>
            </w:r>
            <w:r>
              <w:rPr>
                <w:rFonts w:ascii="Times New Roman" w:hAnsi="Times New Roman" w:eastAsia="Times New Roman" w:cstheme="minorBidi"/>
                <w:sz w:val="24"/>
              </w:rPr>
              <w:t xml:space="preserve"> </w:t>
            </w:r>
          </w:p>
        </w:tc>
      </w:tr>
      <w:tr w14:paraId="39830DB5">
        <w:tblPrEx>
          <w:tblCellMar>
            <w:top w:w="113" w:type="dxa"/>
            <w:left w:w="26" w:type="dxa"/>
            <w:bottom w:w="0" w:type="dxa"/>
            <w:right w:w="57" w:type="dxa"/>
          </w:tblCellMar>
        </w:tblPrEx>
        <w:trPr>
          <w:trHeight w:val="466" w:hRule="atLeast"/>
        </w:trPr>
        <w:tc>
          <w:tcPr>
            <w:tcW w:w="595" w:type="dxa"/>
            <w:tcBorders>
              <w:top w:val="single" w:color="000000" w:sz="4" w:space="0"/>
              <w:left w:val="single" w:color="000000" w:sz="4" w:space="0"/>
              <w:bottom w:val="single" w:color="000000" w:sz="4" w:space="0"/>
              <w:right w:val="single" w:color="000000" w:sz="4" w:space="0"/>
            </w:tcBorders>
          </w:tcPr>
          <w:p w14:paraId="7A7ED827">
            <w:pPr>
              <w:spacing w:before="120" w:line="259" w:lineRule="auto"/>
              <w:ind w:left="30" w:firstLine="480"/>
              <w:jc w:val="center"/>
              <w:rPr>
                <w:rFonts w:cstheme="minorBidi"/>
              </w:rPr>
            </w:pPr>
            <w:r>
              <w:rPr>
                <w:rFonts w:ascii="Times New Roman" w:hAnsi="Times New Roman" w:eastAsia="Times New Roman" w:cstheme="minorBidi"/>
                <w:sz w:val="24"/>
              </w:rPr>
              <w:t xml:space="preserve">9 </w:t>
            </w:r>
          </w:p>
        </w:tc>
        <w:tc>
          <w:tcPr>
            <w:tcW w:w="8507" w:type="dxa"/>
            <w:tcBorders>
              <w:top w:val="single" w:color="000000" w:sz="4" w:space="0"/>
              <w:left w:val="single" w:color="000000" w:sz="4" w:space="0"/>
              <w:bottom w:val="single" w:color="000000" w:sz="4" w:space="0"/>
              <w:right w:val="single" w:color="000000" w:sz="4" w:space="0"/>
            </w:tcBorders>
            <w:vAlign w:val="center"/>
          </w:tcPr>
          <w:p w14:paraId="6F3759F5">
            <w:pPr>
              <w:spacing w:before="120" w:line="259" w:lineRule="auto"/>
              <w:ind w:firstLine="480"/>
              <w:rPr>
                <w:rFonts w:cstheme="minorBidi"/>
              </w:rPr>
            </w:pPr>
            <w:r>
              <w:rPr>
                <w:rFonts w:cstheme="minorBidi"/>
                <w:sz w:val="24"/>
              </w:rPr>
              <w:t>如發現工作環境變得危險或天氣情況惡化時，須立即離開密閉空間</w:t>
            </w:r>
            <w:r>
              <w:rPr>
                <w:rFonts w:ascii="Times New Roman" w:hAnsi="Times New Roman" w:eastAsia="Times New Roman" w:cstheme="minorBidi"/>
                <w:sz w:val="24"/>
              </w:rPr>
              <w:t xml:space="preserve"> </w:t>
            </w:r>
          </w:p>
        </w:tc>
      </w:tr>
      <w:tr w14:paraId="13318EBC">
        <w:tblPrEx>
          <w:tblCellMar>
            <w:top w:w="113" w:type="dxa"/>
            <w:left w:w="26" w:type="dxa"/>
            <w:bottom w:w="0" w:type="dxa"/>
            <w:right w:w="57" w:type="dxa"/>
          </w:tblCellMar>
        </w:tblPrEx>
        <w:trPr>
          <w:trHeight w:val="466" w:hRule="atLeast"/>
        </w:trPr>
        <w:tc>
          <w:tcPr>
            <w:tcW w:w="595" w:type="dxa"/>
            <w:tcBorders>
              <w:top w:val="single" w:color="000000" w:sz="4" w:space="0"/>
              <w:left w:val="single" w:color="000000" w:sz="4" w:space="0"/>
              <w:bottom w:val="single" w:color="000000" w:sz="4" w:space="0"/>
              <w:right w:val="single" w:color="000000" w:sz="4" w:space="0"/>
            </w:tcBorders>
          </w:tcPr>
          <w:p w14:paraId="73B19C69">
            <w:pPr>
              <w:spacing w:before="120" w:line="259" w:lineRule="auto"/>
              <w:ind w:left="151" w:firstLine="480"/>
              <w:rPr>
                <w:rFonts w:cstheme="minorBidi"/>
              </w:rPr>
            </w:pPr>
            <w:r>
              <w:rPr>
                <w:rFonts w:ascii="Times New Roman" w:hAnsi="Times New Roman" w:eastAsia="Times New Roman" w:cstheme="minorBidi"/>
                <w:sz w:val="24"/>
              </w:rPr>
              <w:t xml:space="preserve">10 </w:t>
            </w:r>
          </w:p>
        </w:tc>
        <w:tc>
          <w:tcPr>
            <w:tcW w:w="8507" w:type="dxa"/>
            <w:tcBorders>
              <w:top w:val="single" w:color="000000" w:sz="4" w:space="0"/>
              <w:left w:val="single" w:color="000000" w:sz="4" w:space="0"/>
              <w:bottom w:val="single" w:color="000000" w:sz="4" w:space="0"/>
              <w:right w:val="single" w:color="000000" w:sz="4" w:space="0"/>
            </w:tcBorders>
            <w:vAlign w:val="center"/>
          </w:tcPr>
          <w:p w14:paraId="7FCA692B">
            <w:pPr>
              <w:spacing w:before="120" w:line="259" w:lineRule="auto"/>
              <w:ind w:firstLine="480"/>
              <w:rPr>
                <w:rFonts w:cstheme="minorBidi"/>
              </w:rPr>
            </w:pPr>
            <w:r>
              <w:rPr>
                <w:rFonts w:cstheme="minorBidi"/>
                <w:sz w:val="24"/>
              </w:rPr>
              <w:t>遵從「監工或密閉空間工作負責人」要求的安全施工程序執行</w:t>
            </w:r>
            <w:r>
              <w:rPr>
                <w:rFonts w:ascii="Times New Roman" w:hAnsi="Times New Roman" w:eastAsia="Times New Roman" w:cstheme="minorBidi"/>
                <w:sz w:val="24"/>
              </w:rPr>
              <w:t xml:space="preserve"> </w:t>
            </w:r>
          </w:p>
        </w:tc>
      </w:tr>
      <w:tr w14:paraId="31F799DD">
        <w:tblPrEx>
          <w:tblCellMar>
            <w:top w:w="113" w:type="dxa"/>
            <w:left w:w="26" w:type="dxa"/>
            <w:bottom w:w="0" w:type="dxa"/>
            <w:right w:w="57" w:type="dxa"/>
          </w:tblCellMar>
        </w:tblPrEx>
        <w:trPr>
          <w:trHeight w:val="466" w:hRule="atLeast"/>
        </w:trPr>
        <w:tc>
          <w:tcPr>
            <w:tcW w:w="595" w:type="dxa"/>
            <w:tcBorders>
              <w:top w:val="single" w:color="000000" w:sz="4" w:space="0"/>
              <w:left w:val="single" w:color="000000" w:sz="4" w:space="0"/>
              <w:bottom w:val="single" w:color="000000" w:sz="4" w:space="0"/>
              <w:right w:val="single" w:color="000000" w:sz="4" w:space="0"/>
            </w:tcBorders>
          </w:tcPr>
          <w:p w14:paraId="6F3D7C5D">
            <w:pPr>
              <w:spacing w:before="120" w:line="259" w:lineRule="auto"/>
              <w:ind w:left="156" w:firstLine="480"/>
              <w:rPr>
                <w:rFonts w:cstheme="minorBidi"/>
              </w:rPr>
            </w:pPr>
            <w:r>
              <w:rPr>
                <w:rFonts w:ascii="Times New Roman" w:hAnsi="Times New Roman" w:eastAsia="Times New Roman" w:cstheme="minorBidi"/>
                <w:sz w:val="24"/>
              </w:rPr>
              <w:t xml:space="preserve">11 </w:t>
            </w:r>
          </w:p>
        </w:tc>
        <w:tc>
          <w:tcPr>
            <w:tcW w:w="8507" w:type="dxa"/>
            <w:tcBorders>
              <w:top w:val="single" w:color="000000" w:sz="4" w:space="0"/>
              <w:left w:val="single" w:color="000000" w:sz="4" w:space="0"/>
              <w:bottom w:val="single" w:color="000000" w:sz="4" w:space="0"/>
              <w:right w:val="single" w:color="000000" w:sz="4" w:space="0"/>
            </w:tcBorders>
            <w:vAlign w:val="center"/>
          </w:tcPr>
          <w:p w14:paraId="24D8F339">
            <w:pPr>
              <w:spacing w:before="120" w:line="259" w:lineRule="auto"/>
              <w:ind w:firstLine="480"/>
              <w:rPr>
                <w:rFonts w:cstheme="minorBidi"/>
              </w:rPr>
            </w:pPr>
            <w:r>
              <w:rPr>
                <w:rFonts w:cstheme="minorBidi"/>
                <w:sz w:val="24"/>
              </w:rPr>
              <w:t>遵從指示及建議，出席施工前安全交底、每日開工前安全培訓及專項安全培訓</w:t>
            </w:r>
            <w:r>
              <w:rPr>
                <w:rFonts w:ascii="Times New Roman" w:hAnsi="Times New Roman" w:eastAsia="Times New Roman" w:cstheme="minorBidi"/>
                <w:sz w:val="24"/>
              </w:rPr>
              <w:t xml:space="preserve"> </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