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T108</w:t>
      </w:r>
    </w:p>
    <w:p>
      <w:r>
        <w:t>推定名称：日平均開工人數 地盤月均合約金額（港元） / 1,000萬 或以下 / 1,000萬 以上至4,000萬 / 4,000萬 以上至7,000萬 / 7,000萬 以上至 1億 / 1億以上至1.5億 / 1.5億 以上</w:t>
      </w:r>
    </w:p>
    <w:p>
      <w:r>
        <w:t>制度上下文：(五) 平均每日工友開工人數按季度統計，計算方法按“工友入閘系統”錄入的季度累計開工人數除以75天工作日計算，不包括業主直屬分判商工友。 &gt; 四、獎金額及分類 &gt; (一) 房屋工程地盤獎金額如下(港元/每季度)：</w:t>
      </w:r>
    </w:p>
    <w:p>
      <w:r>
        <w:t>来源：安全管理辦法彙編20241025（無修訂版）.docx</w:t>
      </w:r>
    </w:p>
    <w:p>
      <w:r>
        <w:t>表格序号：108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134"/>
        <w:gridCol w:w="1134"/>
        <w:gridCol w:w="1276"/>
        <w:gridCol w:w="1134"/>
        <w:gridCol w:w="1134"/>
        <w:gridCol w:w="992"/>
      </w:tblGrid>
      <w:tr w14:paraId="5D71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C314F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 xml:space="preserve">    </w:t>
            </w:r>
          </w:p>
          <w:p w14:paraId="516C62A3">
            <w:pPr>
              <w:snapToGrid w:val="0"/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日平均開工人數</w:t>
            </w:r>
            <w:r>
              <w:rPr>
                <w:rFonts w:ascii="Times New Roman" w:hAnsi="Times New Roman" w:cs="FangSong"/>
                <w:sz w:val="20"/>
              </w:rPr>
              <w:t xml:space="preserve">    </w:t>
            </w:r>
          </w:p>
          <w:p w14:paraId="4610F73C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地盤月均合約金額（港元）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9987C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038B7ECE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或以下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C495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35E5E09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  <w:r>
              <w:rPr>
                <w:rFonts w:ascii="Times New Roman" w:hAnsi="Times New Roman" w:cs="FangSong"/>
                <w:sz w:val="20"/>
              </w:rPr>
              <w:t>4,000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6398E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4,000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713ACC9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  <w:r>
              <w:rPr>
                <w:rFonts w:ascii="Times New Roman" w:hAnsi="Times New Roman" w:cs="FangSong"/>
                <w:sz w:val="20"/>
              </w:rPr>
              <w:t>7,000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7C85635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5BA031D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</w:p>
          <w:p w14:paraId="2BA5691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</w:rPr>
              <w:t>億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03BE4D1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</w:rPr>
              <w:t>億以上至</w:t>
            </w:r>
            <w:r>
              <w:rPr>
                <w:rFonts w:ascii="Times New Roman" w:hAnsi="Times New Roman" w:cs="FangSong"/>
                <w:sz w:val="20"/>
              </w:rPr>
              <w:t>1.5</w:t>
            </w:r>
            <w:r>
              <w:rPr>
                <w:rFonts w:hint="eastAsia" w:ascii="Times New Roman" w:hAnsi="Times New Roman" w:cs="FangSong"/>
                <w:sz w:val="20"/>
              </w:rPr>
              <w:t>億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36A1014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  <w:lang w:eastAsia="zh-CN"/>
              </w:rPr>
            </w:pPr>
            <w:r>
              <w:rPr>
                <w:rFonts w:ascii="Times New Roman" w:hAnsi="Times New Roman" w:cs="FangSong"/>
                <w:sz w:val="20"/>
              </w:rPr>
              <w:t>1.5</w:t>
            </w:r>
            <w:r>
              <w:rPr>
                <w:rFonts w:hint="eastAsia" w:ascii="Times New Roman" w:hAnsi="Times New Roman" w:cs="FangSong"/>
                <w:sz w:val="20"/>
                <w:lang w:eastAsia="zh-CN"/>
              </w:rPr>
              <w:t>億</w:t>
            </w:r>
          </w:p>
          <w:p w14:paraId="59BA5C3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</w:t>
            </w:r>
          </w:p>
        </w:tc>
      </w:tr>
      <w:tr w14:paraId="1330C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E0285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人以上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38AB3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25,000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CBB7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35,000</w:t>
            </w:r>
          </w:p>
        </w:tc>
        <w:tc>
          <w:tcPr>
            <w:tcW w:w="127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06DD1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1BD7F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70,000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F916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90,000</w:t>
            </w:r>
          </w:p>
        </w:tc>
        <w:tc>
          <w:tcPr>
            <w:tcW w:w="992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A9F5F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120,000</w:t>
            </w:r>
          </w:p>
        </w:tc>
      </w:tr>
      <w:tr w14:paraId="7EFE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F33EC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500</w:t>
            </w:r>
            <w:r>
              <w:rPr>
                <w:rFonts w:hint="eastAsia" w:ascii="Times New Roman" w:hAnsi="Times New Roman" w:cs="FangSong"/>
                <w:sz w:val="20"/>
              </w:rPr>
              <w:t>人至</w:t>
            </w: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7B489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5B068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30,000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D47F1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40,000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DD14C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60,000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34E43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80,000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51A2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100,000</w:t>
            </w:r>
          </w:p>
        </w:tc>
      </w:tr>
      <w:tr w14:paraId="389C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DA8C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500</w:t>
            </w:r>
            <w:r>
              <w:rPr>
                <w:rFonts w:hint="eastAsia" w:ascii="Times New Roman" w:hAnsi="Times New Roman" w:cs="FangSong"/>
                <w:sz w:val="20"/>
              </w:rPr>
              <w:t>人</w:t>
            </w:r>
            <w:r>
              <w:rPr>
                <w:rFonts w:ascii="Times New Roman" w:hAnsi="Times New Roman" w:cs="FangSong"/>
                <w:sz w:val="20"/>
              </w:rPr>
              <w:t xml:space="preserve"> </w:t>
            </w:r>
            <w:r>
              <w:rPr>
                <w:rFonts w:hint="eastAsia" w:ascii="Times New Roman" w:hAnsi="Times New Roman" w:cs="FangSong"/>
                <w:sz w:val="20"/>
              </w:rPr>
              <w:t>以下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05E1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15,000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7627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25,000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A3B1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35,000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9A77E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B40D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70,000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3A7E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90,000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