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T110</w:t>
      </w:r>
    </w:p>
    <w:p>
      <w:r>
        <w:t>推定名称：地盤月均合約金額 / 1,000萬或以下 / 1,000萬以上至 2,000萬 / 2,000萬以上</w:t>
      </w:r>
    </w:p>
    <w:p>
      <w:r>
        <w:t>制度上下文：(一) 房屋工程地盤獎金額如下(港元/每季度)： &gt; (二) 土木工程地盤獎金額如下(港元/每季度)： &gt; (三) 基礎、機電工程地盤獎金額如下(港元/每季度)：</w:t>
      </w:r>
    </w:p>
    <w:p>
      <w:r>
        <w:t>来源：安全管理辦法彙編20241025（無修訂版）.docx</w:t>
      </w:r>
    </w:p>
    <w:p>
      <w:r>
        <w:t>表格序号：110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268"/>
        <w:gridCol w:w="2551"/>
        <w:gridCol w:w="1985"/>
      </w:tblGrid>
      <w:tr w14:paraId="77E9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5E04C4A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地盤月均合約金額</w:t>
            </w:r>
          </w:p>
        </w:tc>
        <w:tc>
          <w:tcPr>
            <w:tcW w:w="2268" w:type="dxa"/>
            <w:tcBorders>
              <w:top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77F9054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萬或以下</w:t>
            </w:r>
          </w:p>
        </w:tc>
        <w:tc>
          <w:tcPr>
            <w:tcW w:w="2551" w:type="dxa"/>
            <w:tcBorders>
              <w:top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274D0B27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萬以上至</w:t>
            </w:r>
          </w:p>
          <w:p w14:paraId="51B1A937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</w:tc>
        <w:tc>
          <w:tcPr>
            <w:tcW w:w="1985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7B578D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2,000</w:t>
            </w:r>
            <w:r>
              <w:rPr>
                <w:rFonts w:hint="eastAsia" w:ascii="Times New Roman" w:hAnsi="Times New Roman" w:cs="FangSong"/>
                <w:sz w:val="20"/>
              </w:rPr>
              <w:t>萬以上</w:t>
            </w:r>
          </w:p>
        </w:tc>
      </w:tr>
      <w:tr w14:paraId="37CA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694AB8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獎勵金額</w:t>
            </w:r>
            <w:r>
              <w:rPr>
                <w:rFonts w:ascii="Times New Roman" w:hAnsi="Times New Roman" w:cs="FangSong"/>
                <w:sz w:val="20"/>
              </w:rPr>
              <w:t>(</w:t>
            </w:r>
            <w:r>
              <w:rPr>
                <w:rFonts w:hint="eastAsia" w:ascii="Times New Roman" w:hAnsi="Times New Roman" w:cs="FangSong"/>
                <w:sz w:val="20"/>
              </w:rPr>
              <w:t>港元</w:t>
            </w:r>
            <w:r>
              <w:rPr>
                <w:rFonts w:ascii="Times New Roman" w:hAnsi="Times New Roman" w:cs="FangSong"/>
                <w:sz w:val="20"/>
              </w:rPr>
              <w:t>)</w:t>
            </w:r>
          </w:p>
        </w:tc>
        <w:tc>
          <w:tcPr>
            <w:tcW w:w="2268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08620F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 xml:space="preserve">5,000 </w:t>
            </w:r>
          </w:p>
        </w:tc>
        <w:tc>
          <w:tcPr>
            <w:tcW w:w="2551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4AB1D9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 xml:space="preserve">10,000 </w:t>
            </w:r>
          </w:p>
        </w:tc>
        <w:tc>
          <w:tcPr>
            <w:tcW w:w="198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39AE188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 xml:space="preserve">20,000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