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T123</w:t>
      </w:r>
    </w:p>
    <w:p>
      <w:r>
        <w:t>推定名称：地盤安環管理分區檢查評分月度匯總表</w:t>
      </w:r>
    </w:p>
    <w:p>
      <w:r>
        <w:t>制度上下文：附件 &gt; 2. 若分區無安排助理管工，則相應獎金取消，不可攤分； &gt; 4. 地盤需隨申請表附上優秀地盤分區責任人當月《地盤安環管理分區每週檢查評分表》和《地盤安環管理分區檢查評分月度匯總表》。</w:t>
      </w:r>
    </w:p>
    <w:p>
      <w:r>
        <w:t>来源：安全管理辦法彙編20241025（無修訂版）.docx</w:t>
      </w:r>
    </w:p>
    <w:p>
      <w:r>
        <w:t>表格序号：123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941"/>
        <w:gridCol w:w="912"/>
        <w:gridCol w:w="919"/>
        <w:gridCol w:w="931"/>
        <w:gridCol w:w="931"/>
        <w:gridCol w:w="915"/>
        <w:gridCol w:w="932"/>
        <w:gridCol w:w="1114"/>
        <w:gridCol w:w="1137"/>
      </w:tblGrid>
      <w:tr w14:paraId="7043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709" w:type="dxa"/>
            <w:vMerge w:val="restart"/>
            <w:vAlign w:val="center"/>
          </w:tcPr>
          <w:p w14:paraId="17ECF37B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hint="eastAsia" w:ascii="Times New Roman" w:hAnsi="Times New Roman"/>
                <w:sz w:val="23"/>
                <w:szCs w:val="23"/>
              </w:rPr>
              <w:t>分區</w:t>
            </w:r>
          </w:p>
        </w:tc>
        <w:tc>
          <w:tcPr>
            <w:tcW w:w="955" w:type="dxa"/>
            <w:vMerge w:val="restart"/>
            <w:shd w:val="clear" w:color="auto" w:fill="auto"/>
            <w:vAlign w:val="center"/>
          </w:tcPr>
          <w:p w14:paraId="7845834E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hint="eastAsia" w:ascii="Times New Roman" w:hAnsi="Times New Roman"/>
                <w:sz w:val="23"/>
                <w:szCs w:val="23"/>
              </w:rPr>
              <w:t>責任人姓名</w:t>
            </w:r>
          </w:p>
        </w:tc>
        <w:tc>
          <w:tcPr>
            <w:tcW w:w="4639" w:type="dxa"/>
            <w:gridSpan w:val="5"/>
            <w:vAlign w:val="center"/>
          </w:tcPr>
          <w:p w14:paraId="1DCB4E6F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hint="eastAsia" w:ascii="Times New Roman" w:hAnsi="Times New Roman"/>
                <w:sz w:val="23"/>
                <w:szCs w:val="23"/>
              </w:rPr>
              <w:t>每週評分</w:t>
            </w:r>
          </w:p>
        </w:tc>
        <w:tc>
          <w:tcPr>
            <w:tcW w:w="942" w:type="dxa"/>
            <w:vMerge w:val="restart"/>
            <w:vAlign w:val="center"/>
          </w:tcPr>
          <w:p w14:paraId="1B8CBEFC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hint="eastAsia" w:ascii="Times New Roman" w:hAnsi="Times New Roman"/>
                <w:sz w:val="23"/>
                <w:szCs w:val="23"/>
              </w:rPr>
              <w:t>平均分</w:t>
            </w:r>
          </w:p>
        </w:tc>
        <w:tc>
          <w:tcPr>
            <w:tcW w:w="1196" w:type="dxa"/>
            <w:vMerge w:val="restart"/>
            <w:vAlign w:val="center"/>
          </w:tcPr>
          <w:p w14:paraId="0187880B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  <w:lang w:eastAsia="zh-CN"/>
              </w:rPr>
            </w:pPr>
            <w:r>
              <w:rPr>
                <w:rFonts w:hint="eastAsia" w:ascii="Times New Roman" w:hAnsi="Times New Roman"/>
                <w:sz w:val="23"/>
                <w:szCs w:val="23"/>
                <w:lang w:eastAsia="zh-CN"/>
              </w:rPr>
              <w:t>違規事項</w:t>
            </w:r>
            <w:r>
              <w:rPr>
                <w:rFonts w:ascii="Times New Roman" w:hAnsi="Times New Roman"/>
                <w:sz w:val="23"/>
                <w:szCs w:val="23"/>
                <w:lang w:eastAsia="zh-CN"/>
              </w:rPr>
              <w:t>(</w:t>
            </w:r>
            <w:r>
              <w:rPr>
                <w:rFonts w:hint="eastAsia" w:ascii="Times New Roman" w:hAnsi="Times New Roman"/>
                <w:sz w:val="23"/>
                <w:szCs w:val="23"/>
                <w:lang w:eastAsia="zh-CN"/>
              </w:rPr>
              <w:t>有</w:t>
            </w:r>
            <w:r>
              <w:rPr>
                <w:rFonts w:ascii="Times New Roman" w:hAnsi="Times New Roman"/>
                <w:sz w:val="23"/>
                <w:szCs w:val="23"/>
                <w:lang w:eastAsia="zh-CN"/>
              </w:rPr>
              <w:t>/</w:t>
            </w:r>
            <w:r>
              <w:rPr>
                <w:rFonts w:hint="eastAsia" w:ascii="Times New Roman" w:hAnsi="Times New Roman"/>
                <w:sz w:val="23"/>
                <w:szCs w:val="23"/>
                <w:lang w:eastAsia="zh-CN"/>
              </w:rPr>
              <w:t>無</w:t>
            </w:r>
            <w:r>
              <w:rPr>
                <w:rFonts w:ascii="Times New Roman" w:hAnsi="Times New Roman"/>
                <w:sz w:val="23"/>
                <w:szCs w:val="23"/>
                <w:lang w:eastAsia="zh-CN"/>
              </w:rPr>
              <w:t>)</w:t>
            </w:r>
          </w:p>
        </w:tc>
        <w:tc>
          <w:tcPr>
            <w:tcW w:w="1197" w:type="dxa"/>
            <w:vMerge w:val="restart"/>
            <w:vAlign w:val="center"/>
          </w:tcPr>
          <w:p w14:paraId="477AADD7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hint="eastAsia" w:ascii="Times New Roman" w:hAnsi="Times New Roman"/>
                <w:sz w:val="23"/>
                <w:szCs w:val="23"/>
              </w:rPr>
              <w:t>工傷事故</w:t>
            </w:r>
          </w:p>
          <w:p w14:paraId="486BF283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  <w:lang w:eastAsia="zh-CN"/>
              </w:rPr>
              <w:t>(</w:t>
            </w:r>
            <w:r>
              <w:rPr>
                <w:rFonts w:hint="eastAsia" w:ascii="Times New Roman" w:hAnsi="Times New Roman"/>
                <w:sz w:val="23"/>
                <w:szCs w:val="23"/>
                <w:lang w:eastAsia="zh-CN"/>
              </w:rPr>
              <w:t>有</w:t>
            </w:r>
            <w:r>
              <w:rPr>
                <w:rFonts w:ascii="Times New Roman" w:hAnsi="Times New Roman"/>
                <w:sz w:val="23"/>
                <w:szCs w:val="23"/>
                <w:lang w:eastAsia="zh-CN"/>
              </w:rPr>
              <w:t>/</w:t>
            </w:r>
            <w:r>
              <w:rPr>
                <w:rFonts w:hint="eastAsia" w:ascii="Times New Roman" w:hAnsi="Times New Roman"/>
                <w:sz w:val="23"/>
                <w:szCs w:val="23"/>
                <w:lang w:eastAsia="zh-CN"/>
              </w:rPr>
              <w:t>無</w:t>
            </w:r>
            <w:r>
              <w:rPr>
                <w:rFonts w:ascii="Times New Roman" w:hAnsi="Times New Roman"/>
                <w:sz w:val="23"/>
                <w:szCs w:val="23"/>
                <w:lang w:eastAsia="zh-CN"/>
              </w:rPr>
              <w:t>)</w:t>
            </w:r>
          </w:p>
        </w:tc>
      </w:tr>
      <w:tr w14:paraId="2D07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709" w:type="dxa"/>
            <w:vMerge w:val="continue"/>
            <w:vAlign w:val="center"/>
          </w:tcPr>
          <w:p w14:paraId="6712420D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vMerge w:val="continue"/>
            <w:shd w:val="clear" w:color="auto" w:fill="auto"/>
            <w:vAlign w:val="center"/>
          </w:tcPr>
          <w:p w14:paraId="427CD027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4" w:type="dxa"/>
            <w:vAlign w:val="center"/>
          </w:tcPr>
          <w:p w14:paraId="494A436E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hint="eastAsia" w:ascii="Times New Roman" w:hAnsi="Times New Roman"/>
                <w:sz w:val="23"/>
                <w:szCs w:val="23"/>
              </w:rPr>
              <w:t>第一週</w:t>
            </w:r>
          </w:p>
        </w:tc>
        <w:tc>
          <w:tcPr>
            <w:tcW w:w="924" w:type="dxa"/>
            <w:vAlign w:val="center"/>
          </w:tcPr>
          <w:p w14:paraId="4109B5F1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hint="eastAsia" w:ascii="Times New Roman" w:hAnsi="Times New Roman"/>
                <w:sz w:val="23"/>
                <w:szCs w:val="23"/>
              </w:rPr>
              <w:t>第二週</w:t>
            </w:r>
          </w:p>
        </w:tc>
        <w:tc>
          <w:tcPr>
            <w:tcW w:w="941" w:type="dxa"/>
            <w:vAlign w:val="center"/>
          </w:tcPr>
          <w:p w14:paraId="2C95B65E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hint="eastAsia" w:ascii="Times New Roman" w:hAnsi="Times New Roman"/>
                <w:sz w:val="23"/>
                <w:szCs w:val="23"/>
              </w:rPr>
              <w:t>第三週</w:t>
            </w:r>
          </w:p>
        </w:tc>
        <w:tc>
          <w:tcPr>
            <w:tcW w:w="941" w:type="dxa"/>
            <w:vAlign w:val="center"/>
          </w:tcPr>
          <w:p w14:paraId="0682097F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hint="eastAsia" w:ascii="Times New Roman" w:hAnsi="Times New Roman"/>
                <w:sz w:val="23"/>
                <w:szCs w:val="23"/>
              </w:rPr>
              <w:t>第四週</w:t>
            </w:r>
          </w:p>
        </w:tc>
        <w:tc>
          <w:tcPr>
            <w:tcW w:w="919" w:type="dxa"/>
            <w:vAlign w:val="center"/>
          </w:tcPr>
          <w:p w14:paraId="45B2FC57">
            <w:pPr>
              <w:spacing w:before="120"/>
              <w:ind w:firstLine="460"/>
              <w:jc w:val="center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hint="eastAsia" w:ascii="Times New Roman" w:hAnsi="Times New Roman"/>
                <w:sz w:val="23"/>
                <w:szCs w:val="23"/>
              </w:rPr>
              <w:t>第五週</w:t>
            </w:r>
          </w:p>
        </w:tc>
        <w:tc>
          <w:tcPr>
            <w:tcW w:w="942" w:type="dxa"/>
            <w:vMerge w:val="continue"/>
            <w:vAlign w:val="center"/>
          </w:tcPr>
          <w:p w14:paraId="7E878013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vMerge w:val="continue"/>
          </w:tcPr>
          <w:p w14:paraId="2F495D60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vMerge w:val="continue"/>
          </w:tcPr>
          <w:p w14:paraId="2C900B1C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3AF8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double" w:color="auto" w:sz="4" w:space="0"/>
            </w:tcBorders>
          </w:tcPr>
          <w:p w14:paraId="0177ECB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70BFDEC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4" w:type="dxa"/>
            <w:tcBorders>
              <w:top w:val="double" w:color="auto" w:sz="4" w:space="0"/>
            </w:tcBorders>
          </w:tcPr>
          <w:p w14:paraId="0BD22CA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1908804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  <w:tcBorders>
              <w:top w:val="double" w:color="auto" w:sz="4" w:space="0"/>
            </w:tcBorders>
          </w:tcPr>
          <w:p w14:paraId="762EDE3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  <w:tcBorders>
              <w:top w:val="double" w:color="auto" w:sz="4" w:space="0"/>
            </w:tcBorders>
          </w:tcPr>
          <w:p w14:paraId="7F0EDDE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double" w:color="auto" w:sz="4" w:space="0"/>
            </w:tcBorders>
          </w:tcPr>
          <w:p w14:paraId="7864F57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dxa"/>
            <w:tcBorders>
              <w:top w:val="double" w:color="auto" w:sz="4" w:space="0"/>
            </w:tcBorders>
          </w:tcPr>
          <w:p w14:paraId="54298F6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double" w:color="auto" w:sz="4" w:space="0"/>
            </w:tcBorders>
          </w:tcPr>
          <w:p w14:paraId="596F2CA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  <w:tcBorders>
              <w:top w:val="double" w:color="auto" w:sz="4" w:space="0"/>
            </w:tcBorders>
          </w:tcPr>
          <w:p w14:paraId="19119C8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FF30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10D1CEB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vAlign w:val="center"/>
          </w:tcPr>
          <w:p w14:paraId="5BF411D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14:paraId="3D5CD99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2E136A9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39EBFCD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2D4EA3F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3CF5CE0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dxa"/>
          </w:tcPr>
          <w:p w14:paraId="3CED56A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78213CE5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2E2A184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51A5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4942F17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vAlign w:val="center"/>
          </w:tcPr>
          <w:p w14:paraId="2836D2A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14:paraId="5A3D0C4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730C693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3E2E2F8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0CE1933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44D9DB5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dxa"/>
          </w:tcPr>
          <w:p w14:paraId="74C1103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2D9900B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61BDB01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5632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1DE95AE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vAlign w:val="center"/>
          </w:tcPr>
          <w:p w14:paraId="1C50098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14:paraId="45899AA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4AFF4ED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3F7F605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14A0078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5A4EA88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dxa"/>
          </w:tcPr>
          <w:p w14:paraId="16A429F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32EBE52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1EC2773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BFD0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69220AC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vAlign w:val="center"/>
          </w:tcPr>
          <w:p w14:paraId="5A0466D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14:paraId="75EAD55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4D077F7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33B2B54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69E0461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5BEDEB7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dxa"/>
          </w:tcPr>
          <w:p w14:paraId="51704CB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5C3CD43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24A5140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EE60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640205B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vAlign w:val="center"/>
          </w:tcPr>
          <w:p w14:paraId="3CA2BCC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14:paraId="4A3058E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3BCFB4D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2A597FE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468CE56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2648D557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dxa"/>
          </w:tcPr>
          <w:p w14:paraId="532D444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0AA1DB5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7E68A09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0670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9" w:type="dxa"/>
          </w:tcPr>
          <w:p w14:paraId="28D15F2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vAlign w:val="center"/>
          </w:tcPr>
          <w:p w14:paraId="033D447A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14:paraId="6078AAD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103F3F5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656CFA4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20C9D58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7A105E5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dxa"/>
          </w:tcPr>
          <w:p w14:paraId="60FF734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42F6AF5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0CB1145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3EB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0C9F438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vAlign w:val="center"/>
          </w:tcPr>
          <w:p w14:paraId="54ED8268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14:paraId="36B0B02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3361C32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4889390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535D139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34C63A9D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dxa"/>
          </w:tcPr>
          <w:p w14:paraId="33C364F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6A04251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3C102F1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6152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0140BCF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vAlign w:val="center"/>
          </w:tcPr>
          <w:p w14:paraId="2B9D31C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14:paraId="488BA36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3008219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42FD4904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09E6E9E9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7AA83FBF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dxa"/>
          </w:tcPr>
          <w:p w14:paraId="23A273C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2A3F8636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620C89F3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85FF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</w:tcPr>
          <w:p w14:paraId="43D16A1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5" w:type="dxa"/>
            <w:shd w:val="clear" w:color="auto" w:fill="auto"/>
            <w:vAlign w:val="center"/>
          </w:tcPr>
          <w:p w14:paraId="53E0D6B1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4" w:type="dxa"/>
          </w:tcPr>
          <w:p w14:paraId="73991D5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  <w:shd w:val="clear" w:color="auto" w:fill="auto"/>
            <w:vAlign w:val="center"/>
          </w:tcPr>
          <w:p w14:paraId="54067E2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18233E6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1" w:type="dxa"/>
          </w:tcPr>
          <w:p w14:paraId="1B1E5FF2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77538EEB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42" w:type="dxa"/>
          </w:tcPr>
          <w:p w14:paraId="5B9EBC90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73B4CF6E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7A86971C">
            <w:pPr>
              <w:spacing w:before="120" w:beforeLines="50" w:line="276" w:lineRule="auto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