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T144</w:t>
      </w:r>
    </w:p>
    <w:p>
      <w:r>
        <w:t>推定名称：對地下構築物/裝置的壓力轉變(P) / - 20千帕斯卡≤ P ≤ 20千帕斯卡</w:t>
      </w:r>
    </w:p>
    <w:p>
      <w:r>
        <w:t>制度上下文：四、進場前安全注意事項 &gt; 五、施工前安全注意事項 &gt; 安全文件及計劃</w:t>
      </w:r>
    </w:p>
    <w:p>
      <w:r>
        <w:t>来源：安全管理辦法彙編20241025（無修訂版）.docx</w:t>
      </w:r>
    </w:p>
    <w:p>
      <w:r>
        <w:t>表格序号：144 / 159</w:t>
      </w:r>
    </w:p>
    <w:sectPr w:rsidR="00FC693F" w:rsidRPr="0006063C" w:rsidSect="00034616">
      <w:pgSz w:w="12240" w:h="15840"/>
      <w:pgMar w:top="1440" w:right="1800" w:bottom="1440" w:left="1800" w:header="720" w:footer="720" w:gutter="0"/>
      <w:cols w:space="720"/>
      <w:docGrid w:linePitch="360"/>
    </w:sectPr>
    <w:tbl>
      <w:tblPr>
        <w:tblStyle w:val="17"/>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076"/>
      </w:tblGrid>
      <w:tr w14:paraId="41F81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auto"/>
          </w:tcPr>
          <w:p w14:paraId="32D3F485">
            <w:pPr>
              <w:pStyle w:val="29"/>
            </w:pPr>
            <w:r>
              <w:rPr>
                <w:rFonts w:hint="eastAsia"/>
              </w:rPr>
              <w:t>對地下構築物</w:t>
            </w:r>
            <w:r>
              <w:t>/</w:t>
            </w:r>
            <w:r>
              <w:rPr>
                <w:rFonts w:hint="eastAsia"/>
              </w:rPr>
              <w:t>裝置的壓力轉變</w:t>
            </w:r>
            <w:r>
              <w:t>(P)</w:t>
            </w:r>
          </w:p>
        </w:tc>
        <w:tc>
          <w:tcPr>
            <w:tcW w:w="4076" w:type="dxa"/>
            <w:shd w:val="clear" w:color="auto" w:fill="auto"/>
          </w:tcPr>
          <w:p w14:paraId="085863C4">
            <w:pPr>
              <w:pStyle w:val="29"/>
            </w:pPr>
            <w:r>
              <w:t>- 20</w:t>
            </w:r>
            <w:r>
              <w:rPr>
                <w:rFonts w:hint="eastAsia"/>
              </w:rPr>
              <w:t>千帕斯卡≤</w:t>
            </w:r>
            <w:r>
              <w:t xml:space="preserve"> P </w:t>
            </w:r>
            <w:r>
              <w:rPr>
                <w:rFonts w:hint="eastAsia"/>
              </w:rPr>
              <w:t>≤</w:t>
            </w:r>
            <w:r>
              <w:t xml:space="preserve"> 20</w:t>
            </w:r>
            <w:r>
              <w:rPr>
                <w:rFonts w:hint="eastAsia"/>
              </w:rPr>
              <w:t>千帕斯卡</w:t>
            </w:r>
          </w:p>
        </w:tc>
      </w:tr>
      <w:tr w14:paraId="0C0A0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auto"/>
            <w:vAlign w:val="center"/>
          </w:tcPr>
          <w:p w14:paraId="6624AC86">
            <w:pPr>
              <w:pStyle w:val="29"/>
            </w:pPr>
            <w:r>
              <w:rPr>
                <w:rFonts w:hint="eastAsia"/>
              </w:rPr>
              <w:t>移位</w:t>
            </w:r>
          </w:p>
        </w:tc>
        <w:tc>
          <w:tcPr>
            <w:tcW w:w="4076" w:type="dxa"/>
            <w:shd w:val="clear" w:color="auto" w:fill="auto"/>
          </w:tcPr>
          <w:p w14:paraId="27FB81AC">
            <w:pPr>
              <w:pStyle w:val="29"/>
            </w:pPr>
            <w:r>
              <w:rPr>
                <w:rFonts w:hint="eastAsia"/>
              </w:rPr>
              <w:t>對鐵路構築物</w:t>
            </w:r>
            <w:r>
              <w:t>/</w:t>
            </w:r>
            <w:r>
              <w:rPr>
                <w:rFonts w:hint="eastAsia"/>
              </w:rPr>
              <w:t>裝置所造成的整體移動≤20毫米</w:t>
            </w:r>
          </w:p>
          <w:p w14:paraId="76AA7A06">
            <w:pPr>
              <w:pStyle w:val="29"/>
              <w:rPr>
                <w:rStyle w:val="36"/>
                <w:rFonts w:ascii="Times New Roman" w:hAnsi="Times New Roman" w:eastAsia="細明體"/>
                <w:spacing w:val="15"/>
                <w:sz w:val="26"/>
                <w:szCs w:val="26"/>
              </w:rPr>
            </w:pPr>
            <w:r>
              <w:rPr>
                <w:rFonts w:hint="eastAsia"/>
              </w:rPr>
              <w:t>對鐵路構築物</w:t>
            </w:r>
            <w:r>
              <w:t>/</w:t>
            </w:r>
            <w:r>
              <w:rPr>
                <w:rFonts w:hint="eastAsia"/>
              </w:rPr>
              <w:t>裝置所產生的變形影響≤1000分之</w:t>
            </w:r>
            <w:r>
              <w:t>1</w:t>
            </w:r>
          </w:p>
          <w:p w14:paraId="05183085">
            <w:pPr>
              <w:pStyle w:val="29"/>
            </w:pPr>
            <w:r>
              <w:rPr>
                <w:rFonts w:hint="eastAsia"/>
              </w:rPr>
              <w:t>導致鐵路路軌在垂直面的水平差距≤5毫米</w:t>
            </w:r>
          </w:p>
        </w:tc>
      </w:tr>
      <w:tr w14:paraId="6E1F3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trPr>
        <w:tc>
          <w:tcPr>
            <w:tcW w:w="3969" w:type="dxa"/>
            <w:shd w:val="clear" w:color="auto" w:fill="auto"/>
            <w:vAlign w:val="center"/>
          </w:tcPr>
          <w:p w14:paraId="77BB7D0A">
            <w:pPr>
              <w:pStyle w:val="29"/>
            </w:pPr>
            <w:r>
              <w:rPr>
                <w:rFonts w:hint="eastAsia"/>
              </w:rPr>
              <w:t>對鐵路構築物所引起的震動</w:t>
            </w:r>
          </w:p>
        </w:tc>
        <w:tc>
          <w:tcPr>
            <w:tcW w:w="4076" w:type="dxa"/>
            <w:shd w:val="clear" w:color="auto" w:fill="auto"/>
          </w:tcPr>
          <w:p w14:paraId="6EB8D401">
            <w:pPr>
              <w:pStyle w:val="29"/>
              <w:rPr>
                <w:rStyle w:val="36"/>
                <w:rFonts w:ascii="Times New Roman" w:hAnsi="Times New Roman" w:eastAsia="細明體"/>
                <w:spacing w:val="15"/>
                <w:sz w:val="26"/>
                <w:szCs w:val="26"/>
              </w:rPr>
            </w:pPr>
            <w:r>
              <w:rPr>
                <w:rFonts w:hint="eastAsia"/>
              </w:rPr>
              <w:t>峯值粒子速度≤每秒</w:t>
            </w:r>
            <w:r>
              <w:t>15</w:t>
            </w:r>
            <w:r>
              <w:rPr>
                <w:rFonts w:hint="eastAsia"/>
              </w:rPr>
              <w:t>毫米</w:t>
            </w:r>
            <w:r>
              <w:t>(</w:t>
            </w:r>
            <w:r>
              <w:rPr>
                <w:rFonts w:hint="eastAsia"/>
              </w:rPr>
              <w:t>長時間震動</w:t>
            </w:r>
            <w:r>
              <w:t>)</w:t>
            </w:r>
          </w:p>
          <w:p w14:paraId="43AA0F71">
            <w:pPr>
              <w:pStyle w:val="29"/>
            </w:pPr>
            <w:r>
              <w:rPr>
                <w:rFonts w:hint="eastAsia"/>
              </w:rPr>
              <w:t>峯值粒子速度≤</w:t>
            </w:r>
            <w:r>
              <w:rPr>
                <w:rFonts w:hint="eastAsia"/>
                <w:lang w:eastAsia="zh-CN"/>
              </w:rPr>
              <w:t>每秒</w:t>
            </w:r>
            <w:r>
              <w:t>25</w:t>
            </w:r>
            <w:r>
              <w:rPr>
                <w:rFonts w:hint="eastAsia"/>
              </w:rPr>
              <w:t>毫米</w:t>
            </w:r>
            <w:r>
              <w:t>(</w:t>
            </w:r>
            <w:r>
              <w:rPr>
                <w:rFonts w:hint="eastAsia"/>
              </w:rPr>
              <w:t>爆破</w:t>
            </w:r>
            <w:r>
              <w:t>)</w:t>
            </w:r>
          </w:p>
        </w:tc>
      </w:tr>
      <w:tr w14:paraId="5EBC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auto"/>
            <w:vAlign w:val="center"/>
          </w:tcPr>
          <w:p w14:paraId="3F7D292C">
            <w:pPr>
              <w:pStyle w:val="29"/>
            </w:pPr>
            <w:r>
              <w:rPr>
                <w:rFonts w:hint="eastAsia"/>
              </w:rPr>
              <w:t>在鐵路的地面構築物上的架空電線杆或鐵路的訊號及電訊器材裝置上量度震動</w:t>
            </w:r>
          </w:p>
        </w:tc>
        <w:tc>
          <w:tcPr>
            <w:tcW w:w="4076" w:type="dxa"/>
            <w:shd w:val="clear" w:color="auto" w:fill="auto"/>
          </w:tcPr>
          <w:p w14:paraId="3FA158EC">
            <w:pPr>
              <w:pStyle w:val="29"/>
            </w:pPr>
            <w:r>
              <w:rPr>
                <w:rFonts w:hint="eastAsia"/>
              </w:rPr>
              <w:t>峯值粒子速度≤每秒</w:t>
            </w:r>
            <w:r>
              <w:t>10</w:t>
            </w:r>
            <w:r>
              <w:rPr>
                <w:rFonts w:hint="eastAsia"/>
              </w:rPr>
              <w:t>毫米</w:t>
            </w:r>
          </w:p>
          <w:p w14:paraId="2BDD2AB4">
            <w:pPr>
              <w:pStyle w:val="29"/>
            </w:pPr>
            <w:r>
              <w:rPr>
                <w:rFonts w:hint="eastAsia"/>
              </w:rPr>
              <w:t>振幅≤</w:t>
            </w:r>
            <w:r>
              <w:t xml:space="preserve"> 80</w:t>
            </w:r>
            <w:r>
              <w:rPr>
                <w:rFonts w:hint="eastAsia"/>
              </w:rPr>
              <w:t>微米</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