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T146</w:t>
      </w:r>
    </w:p>
    <w:p>
      <w:r>
        <w:t>推定名称：所有在鐵路保護區內的建造工程，均需由港鐵合格人員在場監督，地盤應在相關工程開始最少3星期或合約指定日期前，向港鐵提出申請，以便港鐵安排及準備合格人員進行監督，相關費用將由地盤負責；</w:t>
      </w:r>
    </w:p>
    <w:p>
      <w:r>
        <w:t>制度上下文：四、進場前安全注意事項 &gt; 五、施工前安全注意事項 &gt; 安全文件及計劃</w:t>
      </w:r>
    </w:p>
    <w:p>
      <w:r>
        <w:t>来源：安全管理辦法彙編20241025（無修訂版）.docx</w:t>
      </w:r>
    </w:p>
    <w:p>
      <w:r>
        <w:t>表格序号：146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777"/>
      </w:tblGrid>
      <w:tr w14:paraId="5AC49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bottom w:val="double" w:color="auto" w:sz="4" w:space="0"/>
            </w:tcBorders>
            <w:shd w:val="clear" w:color="auto" w:fill="auto"/>
          </w:tcPr>
          <w:p w14:paraId="05427CEC">
            <w:pPr>
              <w:pStyle w:val="2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地點</w:t>
            </w:r>
          </w:p>
        </w:tc>
        <w:tc>
          <w:tcPr>
            <w:tcW w:w="5777" w:type="dxa"/>
            <w:tcBorders>
              <w:bottom w:val="double" w:color="auto" w:sz="4" w:space="0"/>
            </w:tcBorders>
            <w:shd w:val="clear" w:color="auto" w:fill="auto"/>
          </w:tcPr>
          <w:p w14:paraId="62BF2A3F">
            <w:pPr>
              <w:pStyle w:val="2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誰人授權</w:t>
            </w:r>
          </w:p>
        </w:tc>
      </w:tr>
      <w:tr w14:paraId="762E4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double" w:color="auto" w:sz="4" w:space="0"/>
            </w:tcBorders>
            <w:shd w:val="clear" w:color="auto" w:fill="auto"/>
          </w:tcPr>
          <w:p w14:paraId="4399533F">
            <w:pPr>
              <w:pStyle w:val="2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車站</w:t>
            </w:r>
          </w:p>
        </w:tc>
        <w:tc>
          <w:tcPr>
            <w:tcW w:w="5777" w:type="dxa"/>
            <w:tcBorders>
              <w:top w:val="double" w:color="auto" w:sz="4" w:space="0"/>
            </w:tcBorders>
            <w:shd w:val="clear" w:color="auto" w:fill="auto"/>
          </w:tcPr>
          <w:p w14:paraId="6C1B80EF">
            <w:pPr>
              <w:pStyle w:val="2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值日站長</w:t>
            </w:r>
            <w:r>
              <w:rPr>
                <w:lang w:eastAsia="zh-CN"/>
              </w:rPr>
              <w:t>(Station Controller)</w:t>
            </w:r>
          </w:p>
        </w:tc>
      </w:tr>
      <w:tr w14:paraId="21920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auto"/>
          </w:tcPr>
          <w:p w14:paraId="67F321CA">
            <w:pPr>
              <w:pStyle w:val="2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車廠</w:t>
            </w:r>
          </w:p>
        </w:tc>
        <w:tc>
          <w:tcPr>
            <w:tcW w:w="5777" w:type="dxa"/>
            <w:shd w:val="clear" w:color="auto" w:fill="auto"/>
          </w:tcPr>
          <w:p w14:paraId="75643D56">
            <w:pPr>
              <w:pStyle w:val="2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調車場主管</w:t>
            </w:r>
            <w:r>
              <w:rPr>
                <w:lang w:eastAsia="zh-CN"/>
              </w:rPr>
              <w:t>(Yard Master)</w:t>
            </w:r>
          </w:p>
        </w:tc>
      </w:tr>
      <w:tr w14:paraId="2BBE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auto"/>
          </w:tcPr>
          <w:p w14:paraId="7B5E9E4C">
            <w:pPr>
              <w:pStyle w:val="2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車廠以外軌道</w:t>
            </w:r>
          </w:p>
        </w:tc>
        <w:tc>
          <w:tcPr>
            <w:tcW w:w="5777" w:type="dxa"/>
            <w:shd w:val="clear" w:color="auto" w:fill="auto"/>
          </w:tcPr>
          <w:p w14:paraId="77EBCA55">
            <w:pPr>
              <w:pStyle w:val="2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行車控制主任</w:t>
            </w:r>
            <w:r>
              <w:rPr>
                <w:lang w:eastAsia="zh-CN"/>
              </w:rPr>
              <w:t>(Traffic Controller)</w:t>
            </w:r>
          </w:p>
        </w:tc>
      </w:tr>
      <w:tr w14:paraId="2B4B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auto"/>
          </w:tcPr>
          <w:p w14:paraId="3817363D">
            <w:pPr>
              <w:pStyle w:val="2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工程領域</w:t>
            </w:r>
          </w:p>
        </w:tc>
        <w:tc>
          <w:tcPr>
            <w:tcW w:w="5777" w:type="dxa"/>
            <w:shd w:val="clear" w:color="auto" w:fill="auto"/>
          </w:tcPr>
          <w:p w14:paraId="6D8891BB">
            <w:pPr>
              <w:pStyle w:val="2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工程主管</w:t>
            </w:r>
            <w:r>
              <w:rPr>
                <w:lang w:eastAsia="zh-CN"/>
              </w:rPr>
              <w:t>(Engineer’s Person in Charge)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