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T148</w:t>
      </w:r>
    </w:p>
    <w:p>
      <w:r>
        <w:t>推定名称：各地盤、機械倉需建立常備應急物資台賬，做好應急管理小組物資的記錄和數量監察，確保地盤或機械倉儲備一定數量的應急物資和支援裝備，建議儲備/預備的物資及裝備包括但不限於：</w:t>
      </w:r>
    </w:p>
    <w:p>
      <w:r>
        <w:t>制度上下文：1.2.2 制定地盤惡劣天氣應急預案 &gt; 1.2.3 高危工序識別及專項交底 &gt; 1.2.4 做好應急物資儲備及台賬記錄</w:t>
      </w:r>
    </w:p>
    <w:p>
      <w:r>
        <w:t>来源：安全管理辦法彙編20241025（無修訂版）.docx</w:t>
      </w:r>
    </w:p>
    <w:p>
      <w:r>
        <w:t>表格序号：148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5386"/>
      </w:tblGrid>
      <w:tr w14:paraId="57425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2689" w:type="dxa"/>
            <w:shd w:val="clear" w:color="auto" w:fill="D8D8D8" w:themeFill="background1" w:themeFillShade="D9"/>
            <w:vAlign w:val="center"/>
          </w:tcPr>
          <w:p w14:paraId="1844F270">
            <w:pPr>
              <w:spacing w:before="24" w:beforeLines="10" w:after="24" w:afterLines="10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種類</w:t>
            </w:r>
          </w:p>
        </w:tc>
        <w:tc>
          <w:tcPr>
            <w:tcW w:w="5386" w:type="dxa"/>
            <w:shd w:val="clear" w:color="auto" w:fill="D8D8D8" w:themeFill="background1" w:themeFillShade="D9"/>
            <w:vAlign w:val="center"/>
          </w:tcPr>
          <w:p w14:paraId="2815614B">
            <w:pPr>
              <w:spacing w:before="24" w:beforeLines="10" w:after="24" w:afterLines="10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物資及裝備名稱</w:t>
            </w:r>
          </w:p>
        </w:tc>
      </w:tr>
      <w:tr w14:paraId="1150E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jc w:val="center"/>
        </w:trPr>
        <w:tc>
          <w:tcPr>
            <w:tcW w:w="2689" w:type="dxa"/>
            <w:vAlign w:val="center"/>
          </w:tcPr>
          <w:p w14:paraId="2683E2F6">
            <w:pPr>
              <w:spacing w:before="24" w:beforeLines="10" w:after="24" w:afterLines="1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食品及日用品</w:t>
            </w:r>
          </w:p>
        </w:tc>
        <w:tc>
          <w:tcPr>
            <w:tcW w:w="5386" w:type="dxa"/>
            <w:vAlign w:val="center"/>
          </w:tcPr>
          <w:p w14:paraId="2CA6AD3E">
            <w:pPr>
              <w:spacing w:before="24" w:beforeLines="10" w:after="24" w:afterLines="1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水、食品、手電筒、充電寶等</w:t>
            </w:r>
          </w:p>
        </w:tc>
      </w:tr>
      <w:tr w14:paraId="7E3D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2689" w:type="dxa"/>
            <w:vAlign w:val="center"/>
          </w:tcPr>
          <w:p w14:paraId="68C764F7">
            <w:pPr>
              <w:spacing w:before="24" w:beforeLines="10" w:after="24" w:afterLines="1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急救用品</w:t>
            </w:r>
          </w:p>
        </w:tc>
        <w:tc>
          <w:tcPr>
            <w:tcW w:w="5386" w:type="dxa"/>
            <w:vAlign w:val="center"/>
          </w:tcPr>
          <w:p w14:paraId="4479584F">
            <w:pPr>
              <w:spacing w:before="24" w:beforeLines="10" w:after="24" w:afterLines="1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火酒、紗布、膠布、棉花等</w:t>
            </w:r>
          </w:p>
        </w:tc>
      </w:tr>
      <w:tr w14:paraId="58503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  <w:jc w:val="center"/>
        </w:trPr>
        <w:tc>
          <w:tcPr>
            <w:tcW w:w="2689" w:type="dxa"/>
            <w:vAlign w:val="center"/>
          </w:tcPr>
          <w:p w14:paraId="1CB71BFB">
            <w:pPr>
              <w:spacing w:before="24" w:beforeLines="10" w:after="24" w:afterLines="1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應急搶險物資</w:t>
            </w:r>
          </w:p>
        </w:tc>
        <w:tc>
          <w:tcPr>
            <w:tcW w:w="5386" w:type="dxa"/>
            <w:vAlign w:val="center"/>
          </w:tcPr>
          <w:p w14:paraId="37B93C6F">
            <w:pPr>
              <w:spacing w:before="24" w:beforeLines="10" w:after="24" w:afterLines="1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牛皮膠紙、帆布、尼龍繩、木板、水桶、水泵、水喉、沙包、編織袋、油鋸、樹枝剪、鐵鏟、救生繩、手套、雨衣、雨鞋、手提式發電機、油渣等</w:t>
            </w:r>
          </w:p>
        </w:tc>
      </w:tr>
      <w:tr w14:paraId="2D173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  <w:jc w:val="center"/>
        </w:trPr>
        <w:tc>
          <w:tcPr>
            <w:tcW w:w="2689" w:type="dxa"/>
            <w:vAlign w:val="center"/>
          </w:tcPr>
          <w:p w14:paraId="18440395">
            <w:pPr>
              <w:spacing w:before="24" w:beforeLines="10" w:after="24" w:afterLines="10"/>
              <w:jc w:val="center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機械和車輛</w:t>
            </w:r>
          </w:p>
        </w:tc>
        <w:tc>
          <w:tcPr>
            <w:tcW w:w="5386" w:type="dxa"/>
            <w:vAlign w:val="center"/>
          </w:tcPr>
          <w:p w14:paraId="044A2FC4">
            <w:pPr>
              <w:spacing w:before="24" w:beforeLines="10" w:after="24" w:afterLines="1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私家車、農夫車、吊機車、平板車、挖掘機、履帶吊、推土機、貓仔等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