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T150</w:t>
      </w:r>
    </w:p>
    <w:p>
      <w:r>
        <w:t>推定名称：前線管理人員及分判商打理人每日開工前應進行目測、詢問及檢查工友身體狀況。如發現工友身體不適或有潛在隱患，應即時安排工友離開地盤及時就醫。</w:t>
      </w:r>
    </w:p>
    <w:p>
      <w:r>
        <w:t>制度上下文：一、提供遮擋陽光的遮蔽設施及飲水點要求 &gt; 二、散熱設施 &gt; 三、其他預防工作時中暑措施</w:t>
      </w:r>
    </w:p>
    <w:p>
      <w:r>
        <w:t>来源：安全管理辦法彙編20241025（無修訂版）.docx</w:t>
      </w:r>
    </w:p>
    <w:p>
      <w:r>
        <w:t>表格序号：150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4ED6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2" w:type="dxa"/>
            <w:shd w:val="clear" w:color="auto" w:fill="auto"/>
          </w:tcPr>
          <w:p w14:paraId="6DA874F2">
            <w:pPr>
              <w:pStyle w:val="31"/>
              <w:spacing w:before="120" w:beforeLines="50" w:line="260" w:lineRule="atLeast"/>
              <w:rPr>
                <w:rFonts w:ascii="Times New Roman" w:hAnsi="Times New Roman"/>
                <w:sz w:val="28"/>
                <w:szCs w:val="28"/>
                <w:lang w:eastAsia="zh-HK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inline distT="0" distB="0" distL="114300" distR="114300">
                  <wp:extent cx="2653030" cy="2033905"/>
                  <wp:effectExtent l="0" t="0" r="13970" b="4445"/>
                  <wp:docPr id="54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rcRect t="-1932" b="-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203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shd w:val="clear" w:color="auto" w:fill="auto"/>
          </w:tcPr>
          <w:p w14:paraId="729B674A">
            <w:pPr>
              <w:pStyle w:val="31"/>
              <w:spacing w:before="120" w:beforeLines="50" w:line="260" w:lineRule="atLeast"/>
              <w:rPr>
                <w:rFonts w:ascii="Times New Roman" w:hAnsi="Times New Roman"/>
                <w:sz w:val="28"/>
                <w:szCs w:val="28"/>
                <w:lang w:eastAsia="zh-HK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inline distT="0" distB="0" distL="114300" distR="114300">
                  <wp:extent cx="2662555" cy="1997075"/>
                  <wp:effectExtent l="0" t="0" r="4445" b="3175"/>
                  <wp:docPr id="54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55" cy="199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35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2" w:type="dxa"/>
            <w:shd w:val="clear" w:color="auto" w:fill="auto"/>
          </w:tcPr>
          <w:p w14:paraId="1512E5B6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貨櫃式休息站</w:t>
            </w:r>
          </w:p>
        </w:tc>
        <w:tc>
          <w:tcPr>
            <w:tcW w:w="4422" w:type="dxa"/>
            <w:shd w:val="clear" w:color="auto" w:fill="auto"/>
          </w:tcPr>
          <w:p w14:paraId="110321D4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可固定</w:t>
            </w: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>/</w:t>
            </w: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流動工友休息亭</w:t>
            </w:r>
          </w:p>
        </w:tc>
      </w:tr>
      <w:tr w14:paraId="218AC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2" w:type="dxa"/>
            <w:shd w:val="clear" w:color="auto" w:fill="auto"/>
          </w:tcPr>
          <w:p w14:paraId="60FCD102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inline distT="0" distB="0" distL="114300" distR="114300">
                  <wp:extent cx="2667000" cy="2000250"/>
                  <wp:effectExtent l="0" t="0" r="0" b="0"/>
                  <wp:docPr id="54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  <w:shd w:val="clear" w:color="auto" w:fill="auto"/>
          </w:tcPr>
          <w:p w14:paraId="5DEB28D8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inline distT="0" distB="0" distL="114300" distR="114300">
                  <wp:extent cx="2665095" cy="2002155"/>
                  <wp:effectExtent l="0" t="0" r="1905" b="17145"/>
                  <wp:docPr id="54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095" cy="200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2D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2" w:type="dxa"/>
            <w:shd w:val="clear" w:color="auto" w:fill="auto"/>
          </w:tcPr>
          <w:p w14:paraId="65256FAB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可固定</w:t>
            </w:r>
            <w:r>
              <w:rPr>
                <w:rFonts w:ascii="Times New Roman" w:hAnsi="Times New Roman"/>
                <w:sz w:val="24"/>
                <w:szCs w:val="24"/>
                <w:lang w:eastAsia="zh-HK"/>
              </w:rPr>
              <w:t>/</w:t>
            </w: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流動太陽傘</w:t>
            </w:r>
          </w:p>
        </w:tc>
        <w:tc>
          <w:tcPr>
            <w:tcW w:w="4422" w:type="dxa"/>
            <w:shd w:val="clear" w:color="auto" w:fill="auto"/>
          </w:tcPr>
          <w:p w14:paraId="6839DF04">
            <w:pPr>
              <w:pStyle w:val="31"/>
              <w:spacing w:before="120" w:beforeLines="50" w:line="260" w:lineRule="atLeast"/>
              <w:ind w:firstLine="480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HK"/>
              </w:rPr>
              <w:t>摺疊式帳篷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