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T018</w:t>
      </w:r>
    </w:p>
    <w:p>
      <w:r>
        <w:t>推定名称：地盤安環施工表現綜合評審準則</w:t>
      </w:r>
    </w:p>
    <w:p>
      <w:r>
        <w:t>制度上下文：3.處分執行 &gt; (4)部門責任與處分 &gt; 附件</w:t>
      </w:r>
    </w:p>
    <w:p>
      <w:r>
        <w:t>来源：安全管理辦法彙編20241025（無修訂版）.docx</w:t>
      </w:r>
    </w:p>
    <w:p>
      <w:r>
        <w:t>表格序号：18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8931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44"/>
        <w:gridCol w:w="1483"/>
        <w:gridCol w:w="4394"/>
        <w:gridCol w:w="1417"/>
        <w:gridCol w:w="993"/>
      </w:tblGrid>
      <w:tr w14:paraId="759AC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9" w:hRule="atLeast"/>
          <w:tblHeader/>
        </w:trPr>
        <w:tc>
          <w:tcPr>
            <w:tcW w:w="644" w:type="dxa"/>
            <w:tcBorders>
              <w:bottom w:val="double" w:color="auto" w:sz="4" w:space="0"/>
            </w:tcBorders>
          </w:tcPr>
          <w:p w14:paraId="63CC19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類別</w:t>
            </w:r>
          </w:p>
        </w:tc>
        <w:tc>
          <w:tcPr>
            <w:tcW w:w="1483" w:type="dxa"/>
            <w:tcBorders>
              <w:bottom w:val="double" w:color="auto" w:sz="4" w:space="0"/>
            </w:tcBorders>
          </w:tcPr>
          <w:p w14:paraId="27F1E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項目</w:t>
            </w:r>
          </w:p>
        </w:tc>
        <w:tc>
          <w:tcPr>
            <w:tcW w:w="4394" w:type="dxa"/>
            <w:tcBorders>
              <w:bottom w:val="double" w:color="auto" w:sz="4" w:space="0"/>
            </w:tcBorders>
          </w:tcPr>
          <w:p w14:paraId="078F9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細則</w:t>
            </w:r>
          </w:p>
        </w:tc>
        <w:tc>
          <w:tcPr>
            <w:tcW w:w="1417" w:type="dxa"/>
            <w:tcBorders>
              <w:bottom w:val="double" w:color="auto" w:sz="4" w:space="0"/>
            </w:tcBorders>
          </w:tcPr>
          <w:p w14:paraId="2B454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評審準則</w:t>
            </w:r>
          </w:p>
        </w:tc>
        <w:tc>
          <w:tcPr>
            <w:tcW w:w="993" w:type="dxa"/>
            <w:tcBorders>
              <w:bottom w:val="double" w:color="auto" w:sz="4" w:space="0"/>
            </w:tcBorders>
          </w:tcPr>
          <w:p w14:paraId="1BD28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結果</w:t>
            </w:r>
          </w:p>
        </w:tc>
      </w:tr>
      <w:tr w14:paraId="74AE3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3" w:hRule="atLeast"/>
        </w:trPr>
        <w:tc>
          <w:tcPr>
            <w:tcW w:w="644" w:type="dxa"/>
            <w:vMerge w:val="restart"/>
            <w:tcBorders>
              <w:top w:val="nil"/>
            </w:tcBorders>
            <w:vAlign w:val="center"/>
          </w:tcPr>
          <w:p w14:paraId="4D7F4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安全</w:t>
            </w:r>
          </w:p>
        </w:tc>
        <w:tc>
          <w:tcPr>
            <w:tcW w:w="1483" w:type="dxa"/>
            <w:tcBorders>
              <w:top w:val="nil"/>
              <w:bottom w:val="nil"/>
            </w:tcBorders>
            <w:vAlign w:val="center"/>
          </w:tcPr>
          <w:p w14:paraId="26D76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系統審核</w:t>
            </w:r>
          </w:p>
        </w:tc>
        <w:tc>
          <w:tcPr>
            <w:tcW w:w="4394" w:type="dxa"/>
            <w:tcBorders>
              <w:top w:val="nil"/>
              <w:bottom w:val="nil"/>
            </w:tcBorders>
            <w:vAlign w:val="center"/>
          </w:tcPr>
          <w:p w14:paraId="31299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每次甲部或乙部審核成績</w:t>
            </w:r>
          </w:p>
        </w:tc>
        <w:tc>
          <w:tcPr>
            <w:tcW w:w="1417" w:type="dxa"/>
            <w:tcBorders>
              <w:top w:val="nil"/>
              <w:bottom w:val="nil"/>
            </w:tcBorders>
            <w:vAlign w:val="center"/>
          </w:tcPr>
          <w:p w14:paraId="24194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低於80分</w:t>
            </w: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79636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2C6F6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7" w:hRule="atLeast"/>
        </w:trPr>
        <w:tc>
          <w:tcPr>
            <w:tcW w:w="644" w:type="dxa"/>
            <w:vMerge w:val="continue"/>
          </w:tcPr>
          <w:p w14:paraId="5B4CD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vMerge w:val="restart"/>
            <w:vAlign w:val="center"/>
          </w:tcPr>
          <w:p w14:paraId="2D1F7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現場檢查</w:t>
            </w:r>
          </w:p>
        </w:tc>
        <w:tc>
          <w:tcPr>
            <w:tcW w:w="4394" w:type="dxa"/>
            <w:tcBorders>
              <w:bottom w:val="nil"/>
            </w:tcBorders>
            <w:vAlign w:val="center"/>
          </w:tcPr>
          <w:p w14:paraId="2B5CA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每次檢查評分</w:t>
            </w:r>
          </w:p>
        </w:tc>
        <w:tc>
          <w:tcPr>
            <w:tcW w:w="1417" w:type="dxa"/>
            <w:tcBorders>
              <w:top w:val="single" w:color="auto" w:sz="4" w:space="0"/>
              <w:bottom w:val="nil"/>
            </w:tcBorders>
            <w:vAlign w:val="center"/>
          </w:tcPr>
          <w:p w14:paraId="1BD10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低於80分</w:t>
            </w:r>
          </w:p>
        </w:tc>
        <w:tc>
          <w:tcPr>
            <w:tcW w:w="993" w:type="dxa"/>
            <w:tcBorders>
              <w:top w:val="single" w:color="auto" w:sz="4" w:space="0"/>
              <w:bottom w:val="nil"/>
            </w:tcBorders>
            <w:vAlign w:val="center"/>
          </w:tcPr>
          <w:p w14:paraId="3DACE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5CD0E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7" w:hRule="atLeast"/>
        </w:trPr>
        <w:tc>
          <w:tcPr>
            <w:tcW w:w="644" w:type="dxa"/>
            <w:vMerge w:val="continue"/>
          </w:tcPr>
          <w:p w14:paraId="47FB4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vMerge w:val="continue"/>
            <w:tcBorders>
              <w:bottom w:val="single" w:color="auto" w:sz="4" w:space="0"/>
            </w:tcBorders>
            <w:vAlign w:val="center"/>
          </w:tcPr>
          <w:p w14:paraId="0D87C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94" w:type="dxa"/>
            <w:tcBorders>
              <w:top w:val="single" w:color="auto" w:sz="4" w:space="0"/>
              <w:bottom w:val="nil"/>
            </w:tcBorders>
            <w:vAlign w:val="center"/>
          </w:tcPr>
          <w:p w14:paraId="2CF28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地盤停工命令</w:t>
            </w:r>
          </w:p>
        </w:tc>
        <w:tc>
          <w:tcPr>
            <w:tcW w:w="1417" w:type="dxa"/>
            <w:tcBorders>
              <w:top w:val="single" w:color="auto" w:sz="4" w:space="0"/>
              <w:bottom w:val="nil"/>
            </w:tcBorders>
            <w:vAlign w:val="center"/>
          </w:tcPr>
          <w:p w14:paraId="6EFE8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每次</w:t>
            </w:r>
          </w:p>
        </w:tc>
        <w:tc>
          <w:tcPr>
            <w:tcW w:w="993" w:type="dxa"/>
            <w:tcBorders>
              <w:top w:val="single" w:color="auto" w:sz="4" w:space="0"/>
              <w:bottom w:val="nil"/>
            </w:tcBorders>
            <w:vAlign w:val="center"/>
          </w:tcPr>
          <w:p w14:paraId="35AD8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42132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7" w:hRule="atLeast"/>
        </w:trPr>
        <w:tc>
          <w:tcPr>
            <w:tcW w:w="644" w:type="dxa"/>
            <w:vMerge w:val="continue"/>
          </w:tcPr>
          <w:p w14:paraId="55666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tcBorders>
              <w:top w:val="single" w:color="auto" w:sz="4" w:space="0"/>
              <w:bottom w:val="nil"/>
            </w:tcBorders>
            <w:vAlign w:val="center"/>
          </w:tcPr>
          <w:p w14:paraId="555C04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工傷意外</w:t>
            </w:r>
          </w:p>
        </w:tc>
        <w:tc>
          <w:tcPr>
            <w:tcW w:w="4394" w:type="dxa"/>
            <w:tcBorders>
              <w:top w:val="single" w:color="auto" w:sz="4" w:space="0"/>
              <w:bottom w:val="nil"/>
            </w:tcBorders>
            <w:vAlign w:val="center"/>
          </w:tcPr>
          <w:p w14:paraId="462CF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eastAsia="zh-HK"/>
              </w:rPr>
              <w:t>發生</w:t>
            </w:r>
            <w:r>
              <w:rPr>
                <w:rFonts w:ascii="Times New Roman" w:hAnsi="Times New Roman"/>
                <w:sz w:val="26"/>
                <w:szCs w:val="26"/>
              </w:rPr>
              <w:t>較大安全事件而未</w:t>
            </w:r>
            <w:r>
              <w:rPr>
                <w:rFonts w:ascii="Times New Roman" w:hAnsi="Times New Roman"/>
                <w:sz w:val="26"/>
                <w:szCs w:val="26"/>
                <w:lang w:eastAsia="zh-HK"/>
              </w:rPr>
              <w:t>達召開</w:t>
            </w:r>
            <w:r>
              <w:rPr>
                <w:rFonts w:ascii="Times New Roman" w:hAnsi="Times New Roman"/>
                <w:sz w:val="26"/>
                <w:szCs w:val="26"/>
              </w:rPr>
              <w:t>進行內部聆訊</w:t>
            </w:r>
            <w:r>
              <w:rPr>
                <w:rFonts w:ascii="Times New Roman" w:hAnsi="Times New Roman"/>
                <w:sz w:val="26"/>
                <w:szCs w:val="26"/>
                <w:lang w:eastAsia="zh-HK"/>
              </w:rPr>
              <w:t>會議門檻</w:t>
            </w:r>
          </w:p>
        </w:tc>
        <w:tc>
          <w:tcPr>
            <w:tcW w:w="1417" w:type="dxa"/>
            <w:tcBorders>
              <w:top w:val="single" w:color="auto" w:sz="4" w:space="0"/>
              <w:bottom w:val="nil"/>
            </w:tcBorders>
            <w:vAlign w:val="center"/>
          </w:tcPr>
          <w:p w14:paraId="460BD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每宗</w:t>
            </w:r>
          </w:p>
        </w:tc>
        <w:tc>
          <w:tcPr>
            <w:tcW w:w="993" w:type="dxa"/>
            <w:tcBorders>
              <w:top w:val="single" w:color="auto" w:sz="4" w:space="0"/>
              <w:bottom w:val="nil"/>
            </w:tcBorders>
            <w:vAlign w:val="center"/>
          </w:tcPr>
          <w:p w14:paraId="50680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720E0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3" w:hRule="atLeast"/>
        </w:trPr>
        <w:tc>
          <w:tcPr>
            <w:tcW w:w="644" w:type="dxa"/>
            <w:vMerge w:val="continue"/>
          </w:tcPr>
          <w:p w14:paraId="74EF2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vMerge w:val="restart"/>
            <w:tcBorders>
              <w:top w:val="single" w:color="auto" w:sz="4" w:space="0"/>
            </w:tcBorders>
            <w:vAlign w:val="center"/>
          </w:tcPr>
          <w:p w14:paraId="16DE5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違反法例</w:t>
            </w:r>
          </w:p>
        </w:tc>
        <w:tc>
          <w:tcPr>
            <w:tcW w:w="4394" w:type="dxa"/>
            <w:tcBorders>
              <w:top w:val="single" w:color="auto" w:sz="4" w:space="0"/>
              <w:bottom w:val="nil"/>
            </w:tcBorders>
            <w:vAlign w:val="center"/>
          </w:tcPr>
          <w:p w14:paraId="69F60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pacing w:val="-4"/>
                <w:sz w:val="26"/>
                <w:szCs w:val="26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</w:rPr>
              <w:t>勞工處發出《暫時停工通知書》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eastAsia="zh-HK"/>
              </w:rPr>
              <w:t>或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《建築地盤視察報告書》上填寫第一部份*</w:t>
            </w:r>
          </w:p>
        </w:tc>
        <w:tc>
          <w:tcPr>
            <w:tcW w:w="1417" w:type="dxa"/>
            <w:vMerge w:val="restart"/>
            <w:tcBorders>
              <w:top w:val="single" w:color="auto" w:sz="4" w:space="0"/>
            </w:tcBorders>
            <w:vAlign w:val="center"/>
          </w:tcPr>
          <w:p w14:paraId="1E90A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每次</w:t>
            </w:r>
          </w:p>
        </w:tc>
        <w:tc>
          <w:tcPr>
            <w:tcW w:w="993" w:type="dxa"/>
            <w:vMerge w:val="restart"/>
            <w:tcBorders>
              <w:top w:val="single" w:color="auto" w:sz="4" w:space="0"/>
            </w:tcBorders>
            <w:vAlign w:val="center"/>
          </w:tcPr>
          <w:p w14:paraId="2EC260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370E1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3" w:hRule="atLeast"/>
        </w:trPr>
        <w:tc>
          <w:tcPr>
            <w:tcW w:w="644" w:type="dxa"/>
            <w:vMerge w:val="continue"/>
          </w:tcPr>
          <w:p w14:paraId="1EA9F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vMerge w:val="continue"/>
            <w:tcBorders>
              <w:bottom w:val="nil"/>
            </w:tcBorders>
            <w:vAlign w:val="center"/>
          </w:tcPr>
          <w:p w14:paraId="7A552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94" w:type="dxa"/>
            <w:tcBorders>
              <w:top w:val="single" w:color="auto" w:sz="4" w:space="0"/>
              <w:bottom w:val="nil"/>
            </w:tcBorders>
            <w:vAlign w:val="center"/>
          </w:tcPr>
          <w:p w14:paraId="2EBBF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收到勞工處發出的法庭傳票</w:t>
            </w:r>
          </w:p>
        </w:tc>
        <w:tc>
          <w:tcPr>
            <w:tcW w:w="1417" w:type="dxa"/>
            <w:vMerge w:val="continue"/>
            <w:tcBorders>
              <w:bottom w:val="nil"/>
            </w:tcBorders>
            <w:vAlign w:val="center"/>
          </w:tcPr>
          <w:p w14:paraId="7C205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dxa"/>
            <w:vMerge w:val="continue"/>
            <w:tcBorders>
              <w:bottom w:val="nil"/>
            </w:tcBorders>
            <w:vAlign w:val="center"/>
          </w:tcPr>
          <w:p w14:paraId="7EEBC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57DD6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</w:trPr>
        <w:tc>
          <w:tcPr>
            <w:tcW w:w="644" w:type="dxa"/>
            <w:vMerge w:val="continue"/>
          </w:tcPr>
          <w:p w14:paraId="32A03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vMerge w:val="restart"/>
            <w:tcBorders>
              <w:top w:val="single" w:color="auto" w:sz="4" w:space="0"/>
            </w:tcBorders>
            <w:vAlign w:val="center"/>
          </w:tcPr>
          <w:p w14:paraId="46E27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合約第三方</w:t>
            </w:r>
          </w:p>
          <w:p w14:paraId="78809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安全審核</w:t>
            </w:r>
          </w:p>
        </w:tc>
        <w:tc>
          <w:tcPr>
            <w:tcW w:w="4394" w:type="dxa"/>
            <w:vMerge w:val="restart"/>
            <w:vAlign w:val="center"/>
          </w:tcPr>
          <w:p w14:paraId="775CB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每季度甲部或乙部審核成績</w:t>
            </w:r>
          </w:p>
        </w:tc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B8FC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低於80分</w:t>
            </w:r>
          </w:p>
        </w:tc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AF3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4593E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51" w:hRule="atLeast"/>
        </w:trPr>
        <w:tc>
          <w:tcPr>
            <w:tcW w:w="644" w:type="dxa"/>
            <w:vMerge w:val="continue"/>
          </w:tcPr>
          <w:p w14:paraId="646409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vMerge w:val="continue"/>
            <w:tcBorders>
              <w:bottom w:val="single" w:color="auto" w:sz="4" w:space="0"/>
            </w:tcBorders>
            <w:vAlign w:val="center"/>
          </w:tcPr>
          <w:p w14:paraId="6CC8F5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  <w:lang w:eastAsia="zh-CN"/>
              </w:rPr>
            </w:pPr>
          </w:p>
        </w:tc>
        <w:tc>
          <w:tcPr>
            <w:tcW w:w="4394" w:type="dxa"/>
            <w:vMerge w:val="continue"/>
            <w:tcBorders>
              <w:bottom w:val="single" w:color="auto" w:sz="4" w:space="0"/>
            </w:tcBorders>
            <w:vAlign w:val="center"/>
          </w:tcPr>
          <w:p w14:paraId="747E3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  <w:lang w:eastAsia="zh-CN"/>
              </w:rPr>
            </w:pPr>
          </w:p>
        </w:tc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849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bCs/>
                <w:spacing w:val="-8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pacing w:val="-8"/>
                <w:sz w:val="26"/>
                <w:szCs w:val="26"/>
              </w:rPr>
              <w:t>連續兩季度低</w:t>
            </w:r>
            <w:r>
              <w:rPr>
                <w:rFonts w:ascii="Times New Roman" w:hAnsi="Times New Roman"/>
                <w:spacing w:val="-8"/>
                <w:sz w:val="26"/>
                <w:szCs w:val="26"/>
              </w:rPr>
              <w:t>於8</w:t>
            </w:r>
            <w:r>
              <w:rPr>
                <w:rFonts w:ascii="Times New Roman" w:hAnsi="Times New Roman"/>
                <w:bCs/>
                <w:spacing w:val="-8"/>
                <w:sz w:val="26"/>
                <w:szCs w:val="26"/>
              </w:rPr>
              <w:t>0分</w:t>
            </w:r>
          </w:p>
        </w:tc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D6A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雙黃牌</w:t>
            </w:r>
          </w:p>
        </w:tc>
      </w:tr>
      <w:tr w14:paraId="121AA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7" w:hRule="atLeast"/>
        </w:trPr>
        <w:tc>
          <w:tcPr>
            <w:tcW w:w="644" w:type="dxa"/>
            <w:vMerge w:val="continue"/>
          </w:tcPr>
          <w:p w14:paraId="565CF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vMerge w:val="restart"/>
            <w:tcBorders>
              <w:top w:val="single" w:color="auto" w:sz="4" w:space="0"/>
            </w:tcBorders>
            <w:vAlign w:val="center"/>
          </w:tcPr>
          <w:p w14:paraId="47084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監督審核</w:t>
            </w:r>
          </w:p>
        </w:tc>
        <w:tc>
          <w:tcPr>
            <w:tcW w:w="4394" w:type="dxa"/>
            <w:tcBorders>
              <w:top w:val="single" w:color="auto" w:sz="4" w:space="0"/>
              <w:bottom w:val="nil"/>
            </w:tcBorders>
            <w:vAlign w:val="center"/>
          </w:tcPr>
          <w:p w14:paraId="2343C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不符點</w:t>
            </w:r>
          </w:p>
        </w:tc>
        <w:tc>
          <w:tcPr>
            <w:tcW w:w="1417" w:type="dxa"/>
            <w:tcBorders>
              <w:top w:val="single" w:color="auto" w:sz="4" w:space="0"/>
              <w:bottom w:val="nil"/>
            </w:tcBorders>
            <w:vAlign w:val="center"/>
          </w:tcPr>
          <w:p w14:paraId="7B6CE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每個</w:t>
            </w:r>
          </w:p>
        </w:tc>
        <w:tc>
          <w:tcPr>
            <w:tcW w:w="993" w:type="dxa"/>
            <w:tcBorders>
              <w:top w:val="single" w:color="auto" w:sz="4" w:space="0"/>
              <w:bottom w:val="nil"/>
            </w:tcBorders>
            <w:vAlign w:val="center"/>
          </w:tcPr>
          <w:p w14:paraId="1C6CB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1CCC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7" w:hRule="atLeast"/>
        </w:trPr>
        <w:tc>
          <w:tcPr>
            <w:tcW w:w="644" w:type="dxa"/>
            <w:vMerge w:val="continue"/>
            <w:tcBorders>
              <w:bottom w:val="single" w:color="auto" w:sz="4" w:space="0"/>
            </w:tcBorders>
          </w:tcPr>
          <w:p w14:paraId="23C72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vMerge w:val="continue"/>
            <w:tcBorders>
              <w:bottom w:val="nil"/>
            </w:tcBorders>
            <w:vAlign w:val="center"/>
          </w:tcPr>
          <w:p w14:paraId="2A96D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94" w:type="dxa"/>
            <w:tcBorders>
              <w:top w:val="single" w:color="auto" w:sz="4" w:space="0"/>
              <w:bottom w:val="nil"/>
            </w:tcBorders>
            <w:vAlign w:val="center"/>
          </w:tcPr>
          <w:p w14:paraId="76D15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嚴重不符點</w:t>
            </w:r>
          </w:p>
        </w:tc>
        <w:tc>
          <w:tcPr>
            <w:tcW w:w="1417" w:type="dxa"/>
            <w:tcBorders>
              <w:top w:val="single" w:color="auto" w:sz="4" w:space="0"/>
              <w:bottom w:val="nil"/>
            </w:tcBorders>
            <w:vAlign w:val="center"/>
          </w:tcPr>
          <w:p w14:paraId="5712A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每個</w:t>
            </w:r>
          </w:p>
        </w:tc>
        <w:tc>
          <w:tcPr>
            <w:tcW w:w="993" w:type="dxa"/>
            <w:tcBorders>
              <w:top w:val="single" w:color="auto" w:sz="4" w:space="0"/>
              <w:bottom w:val="nil"/>
            </w:tcBorders>
            <w:vAlign w:val="center"/>
          </w:tcPr>
          <w:p w14:paraId="0092D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雙黃牌</w:t>
            </w:r>
          </w:p>
        </w:tc>
      </w:tr>
      <w:tr w14:paraId="45247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7" w:hRule="atLeast"/>
        </w:trPr>
        <w:tc>
          <w:tcPr>
            <w:tcW w:w="644" w:type="dxa"/>
            <w:vMerge w:val="restart"/>
            <w:tcBorders>
              <w:top w:val="single" w:color="auto" w:sz="4" w:space="0"/>
            </w:tcBorders>
            <w:vAlign w:val="center"/>
          </w:tcPr>
          <w:p w14:paraId="7629A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環</w:t>
            </w:r>
            <w:r>
              <w:rPr>
                <w:rFonts w:ascii="Times New Roman" w:hAnsi="Times New Roman"/>
                <w:sz w:val="26"/>
                <w:szCs w:val="26"/>
                <w:lang w:eastAsia="zh-HK"/>
              </w:rPr>
              <w:t>保</w:t>
            </w:r>
          </w:p>
        </w:tc>
        <w:tc>
          <w:tcPr>
            <w:tcW w:w="1483" w:type="dxa"/>
            <w:tcBorders>
              <w:top w:val="single" w:color="auto" w:sz="4" w:space="0"/>
              <w:bottom w:val="nil"/>
            </w:tcBorders>
            <w:vAlign w:val="center"/>
          </w:tcPr>
          <w:p w14:paraId="37CFF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系統審核</w:t>
            </w:r>
          </w:p>
        </w:tc>
        <w:tc>
          <w:tcPr>
            <w:tcW w:w="4394" w:type="dxa"/>
            <w:tcBorders>
              <w:top w:val="single" w:color="auto" w:sz="4" w:space="0"/>
              <w:bottom w:val="nil"/>
            </w:tcBorders>
            <w:vAlign w:val="center"/>
          </w:tcPr>
          <w:p w14:paraId="3FE15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每次審核成績</w:t>
            </w:r>
          </w:p>
        </w:tc>
        <w:tc>
          <w:tcPr>
            <w:tcW w:w="1417" w:type="dxa"/>
            <w:tcBorders>
              <w:top w:val="single" w:color="auto" w:sz="4" w:space="0"/>
              <w:bottom w:val="nil"/>
            </w:tcBorders>
            <w:vAlign w:val="center"/>
          </w:tcPr>
          <w:p w14:paraId="42BCD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低於80分</w:t>
            </w:r>
          </w:p>
        </w:tc>
        <w:tc>
          <w:tcPr>
            <w:tcW w:w="993" w:type="dxa"/>
            <w:tcBorders>
              <w:top w:val="single" w:color="auto" w:sz="4" w:space="0"/>
              <w:bottom w:val="nil"/>
            </w:tcBorders>
            <w:vAlign w:val="center"/>
          </w:tcPr>
          <w:p w14:paraId="62CF4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4F104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7" w:hRule="atLeast"/>
        </w:trPr>
        <w:tc>
          <w:tcPr>
            <w:tcW w:w="644" w:type="dxa"/>
            <w:vMerge w:val="continue"/>
          </w:tcPr>
          <w:p w14:paraId="24318E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tcBorders>
              <w:top w:val="single" w:color="auto" w:sz="4" w:space="0"/>
              <w:bottom w:val="nil"/>
            </w:tcBorders>
            <w:vAlign w:val="center"/>
          </w:tcPr>
          <w:p w14:paraId="1C26C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現場檢查</w:t>
            </w:r>
          </w:p>
        </w:tc>
        <w:tc>
          <w:tcPr>
            <w:tcW w:w="4394" w:type="dxa"/>
            <w:tcBorders>
              <w:top w:val="single" w:color="auto" w:sz="4" w:space="0"/>
              <w:bottom w:val="nil"/>
            </w:tcBorders>
            <w:vAlign w:val="center"/>
          </w:tcPr>
          <w:p w14:paraId="1772B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每次檢查評分</w:t>
            </w:r>
          </w:p>
        </w:tc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A9D3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低於80分</w:t>
            </w:r>
          </w:p>
        </w:tc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175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42C1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7" w:hRule="atLeast"/>
        </w:trPr>
        <w:tc>
          <w:tcPr>
            <w:tcW w:w="644" w:type="dxa"/>
            <w:vMerge w:val="continue"/>
          </w:tcPr>
          <w:p w14:paraId="3DA91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tcBorders>
              <w:top w:val="single" w:color="auto" w:sz="4" w:space="0"/>
              <w:bottom w:val="nil"/>
            </w:tcBorders>
            <w:vAlign w:val="center"/>
          </w:tcPr>
          <w:p w14:paraId="1A37F1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假日檢查</w:t>
            </w:r>
          </w:p>
        </w:tc>
        <w:tc>
          <w:tcPr>
            <w:tcW w:w="4394" w:type="dxa"/>
            <w:tcBorders>
              <w:top w:val="single" w:color="auto" w:sz="4" w:space="0"/>
              <w:bottom w:val="nil"/>
            </w:tcBorders>
            <w:vAlign w:val="center"/>
          </w:tcPr>
          <w:p w14:paraId="6F2A2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違反《噪音管制條例》</w:t>
            </w:r>
          </w:p>
        </w:tc>
        <w:tc>
          <w:tcPr>
            <w:tcW w:w="1417" w:type="dxa"/>
            <w:tcBorders>
              <w:top w:val="single" w:color="auto" w:sz="4" w:space="0"/>
              <w:bottom w:val="nil"/>
            </w:tcBorders>
            <w:vAlign w:val="center"/>
          </w:tcPr>
          <w:p w14:paraId="3E5AE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每次</w:t>
            </w:r>
          </w:p>
        </w:tc>
        <w:tc>
          <w:tcPr>
            <w:tcW w:w="993" w:type="dxa"/>
            <w:tcBorders>
              <w:top w:val="single" w:color="auto" w:sz="4" w:space="0"/>
              <w:bottom w:val="nil"/>
            </w:tcBorders>
            <w:vAlign w:val="center"/>
          </w:tcPr>
          <w:p w14:paraId="41645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2B1F7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3" w:hRule="atLeast"/>
        </w:trPr>
        <w:tc>
          <w:tcPr>
            <w:tcW w:w="644" w:type="dxa"/>
            <w:vMerge w:val="continue"/>
          </w:tcPr>
          <w:p w14:paraId="1E45C3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7C2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違反法例</w:t>
            </w:r>
          </w:p>
        </w:tc>
        <w:tc>
          <w:tcPr>
            <w:tcW w:w="43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DF3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收到環保署發出的法庭傳票</w:t>
            </w:r>
          </w:p>
        </w:tc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8E41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每次</w:t>
            </w:r>
          </w:p>
        </w:tc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6B3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1133F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7" w:hRule="atLeast"/>
        </w:trPr>
        <w:tc>
          <w:tcPr>
            <w:tcW w:w="644" w:type="dxa"/>
            <w:vMerge w:val="continue"/>
          </w:tcPr>
          <w:p w14:paraId="71992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vMerge w:val="restart"/>
            <w:tcBorders>
              <w:top w:val="single" w:color="auto" w:sz="4" w:space="0"/>
            </w:tcBorders>
            <w:vAlign w:val="center"/>
          </w:tcPr>
          <w:p w14:paraId="1C62C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監督審核</w:t>
            </w:r>
          </w:p>
        </w:tc>
        <w:tc>
          <w:tcPr>
            <w:tcW w:w="4394" w:type="dxa"/>
            <w:tcBorders>
              <w:top w:val="single" w:color="auto" w:sz="4" w:space="0"/>
              <w:bottom w:val="nil"/>
            </w:tcBorders>
            <w:vAlign w:val="center"/>
          </w:tcPr>
          <w:p w14:paraId="1557B6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不符點</w:t>
            </w:r>
          </w:p>
        </w:tc>
        <w:tc>
          <w:tcPr>
            <w:tcW w:w="1417" w:type="dxa"/>
            <w:tcBorders>
              <w:top w:val="single" w:color="auto" w:sz="4" w:space="0"/>
              <w:bottom w:val="nil"/>
            </w:tcBorders>
            <w:vAlign w:val="center"/>
          </w:tcPr>
          <w:p w14:paraId="60FD7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每個</w:t>
            </w:r>
          </w:p>
        </w:tc>
        <w:tc>
          <w:tcPr>
            <w:tcW w:w="993" w:type="dxa"/>
            <w:tcBorders>
              <w:top w:val="single" w:color="auto" w:sz="4" w:space="0"/>
              <w:bottom w:val="nil"/>
            </w:tcBorders>
            <w:vAlign w:val="center"/>
          </w:tcPr>
          <w:p w14:paraId="76C22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53983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7" w:hRule="atLeast"/>
        </w:trPr>
        <w:tc>
          <w:tcPr>
            <w:tcW w:w="644" w:type="dxa"/>
            <w:vMerge w:val="continue"/>
            <w:tcBorders>
              <w:bottom w:val="single" w:color="auto" w:sz="4" w:space="0"/>
            </w:tcBorders>
          </w:tcPr>
          <w:p w14:paraId="11E6A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vMerge w:val="continue"/>
            <w:tcBorders>
              <w:bottom w:val="nil"/>
            </w:tcBorders>
            <w:vAlign w:val="center"/>
          </w:tcPr>
          <w:p w14:paraId="590F4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94" w:type="dxa"/>
            <w:tcBorders>
              <w:top w:val="single" w:color="auto" w:sz="4" w:space="0"/>
              <w:bottom w:val="nil"/>
            </w:tcBorders>
            <w:vAlign w:val="center"/>
          </w:tcPr>
          <w:p w14:paraId="3B551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嚴重不符點</w:t>
            </w:r>
          </w:p>
        </w:tc>
        <w:tc>
          <w:tcPr>
            <w:tcW w:w="1417" w:type="dxa"/>
            <w:tcBorders>
              <w:top w:val="single" w:color="auto" w:sz="4" w:space="0"/>
              <w:bottom w:val="nil"/>
            </w:tcBorders>
            <w:vAlign w:val="center"/>
          </w:tcPr>
          <w:p w14:paraId="4B891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每個</w:t>
            </w:r>
          </w:p>
        </w:tc>
        <w:tc>
          <w:tcPr>
            <w:tcW w:w="993" w:type="dxa"/>
            <w:tcBorders>
              <w:top w:val="single" w:color="auto" w:sz="4" w:space="0"/>
              <w:bottom w:val="nil"/>
            </w:tcBorders>
            <w:vAlign w:val="center"/>
          </w:tcPr>
          <w:p w14:paraId="6643D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雙黃牌</w:t>
            </w:r>
          </w:p>
        </w:tc>
      </w:tr>
      <w:tr w14:paraId="336D2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42" w:hRule="atLeast"/>
        </w:trPr>
        <w:tc>
          <w:tcPr>
            <w:tcW w:w="64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394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蚊蟲滋生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4B4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違反法例</w:t>
            </w:r>
          </w:p>
        </w:tc>
        <w:tc>
          <w:tcPr>
            <w:tcW w:w="43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5D0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收到食環署發出</w:t>
            </w:r>
            <w:r>
              <w:rPr>
                <w:rFonts w:hint="eastAsia" w:ascii="Times New Roman" w:hAnsi="Times New Roman"/>
                <w:color w:val="C00000"/>
                <w:sz w:val="26"/>
                <w:szCs w:val="26"/>
              </w:rPr>
              <w:t>的</w:t>
            </w:r>
            <w:r>
              <w:rPr>
                <w:rFonts w:ascii="Times New Roman" w:hAnsi="Times New Roman"/>
                <w:sz w:val="26"/>
                <w:szCs w:val="26"/>
              </w:rPr>
              <w:t>法庭傳票</w:t>
            </w:r>
          </w:p>
        </w:tc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D1A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每次</w:t>
            </w:r>
          </w:p>
        </w:tc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03D7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1E13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78" w:hRule="atLeast"/>
        </w:trPr>
        <w:tc>
          <w:tcPr>
            <w:tcW w:w="644" w:type="dxa"/>
            <w:vMerge w:val="restart"/>
            <w:tcBorders>
              <w:top w:val="single" w:color="auto" w:sz="4" w:space="0"/>
            </w:tcBorders>
            <w:vAlign w:val="center"/>
          </w:tcPr>
          <w:p w14:paraId="7D7660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計劃編制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4E2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計劃書</w:t>
            </w:r>
          </w:p>
        </w:tc>
        <w:tc>
          <w:tcPr>
            <w:tcW w:w="43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7794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逾時提交計劃</w:t>
            </w:r>
          </w:p>
        </w:tc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801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預警2次</w:t>
            </w:r>
          </w:p>
        </w:tc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C29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48" w:beforeLines="20" w:after="48" w:afterLines="20"/>
              <w:ind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  <w:tr w14:paraId="46B85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1" w:hRule="atLeast"/>
        </w:trPr>
        <w:tc>
          <w:tcPr>
            <w:tcW w:w="644" w:type="dxa"/>
            <w:vMerge w:val="continue"/>
            <w:tcBorders>
              <w:bottom w:val="single" w:color="auto" w:sz="4" w:space="0"/>
            </w:tcBorders>
          </w:tcPr>
          <w:p w14:paraId="61AEF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853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現場檢查</w:t>
            </w:r>
          </w:p>
        </w:tc>
        <w:tc>
          <w:tcPr>
            <w:tcW w:w="43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886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每次檢查評分</w:t>
            </w:r>
          </w:p>
        </w:tc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078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低於80分</w:t>
            </w:r>
          </w:p>
        </w:tc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32A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8" w:beforeLines="20" w:after="48" w:afterLines="20"/>
              <w:ind w:left="57" w:right="57" w:firstLine="0"/>
              <w:jc w:val="center"/>
              <w:textAlignment w:val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黃牌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