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T052</w:t>
      </w:r>
    </w:p>
    <w:p>
      <w:r>
        <w:t>推定名称：申請許可證 (由分判商填寫)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1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0"/>
      </w:tblGrid>
      <w:tr w14:paraId="0F87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</w:tcPr>
          <w:p w14:paraId="24053D51">
            <w:pPr>
              <w:numPr>
                <w:ilvl w:val="0"/>
                <w:numId w:val="181"/>
              </w:numPr>
              <w:adjustRightInd w:val="0"/>
              <w:snapToGrid w:val="0"/>
              <w:spacing w:before="120" w:line="360" w:lineRule="atLeast"/>
              <w:ind w:left="426"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分判商必須遵守《貨車式起重機吊運安全守則》及公司有關要求；</w:t>
            </w:r>
          </w:p>
          <w:p w14:paraId="780E2104">
            <w:pPr>
              <w:numPr>
                <w:ilvl w:val="0"/>
                <w:numId w:val="181"/>
              </w:numPr>
              <w:adjustRightInd w:val="0"/>
              <w:snapToGrid w:val="0"/>
              <w:spacing w:before="120" w:line="360" w:lineRule="atLeast"/>
              <w:ind w:left="426"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此工作許可證不是長期有效，當更換位置或延長工作時間，必須重新申請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HK"/>
              </w:rPr>
              <w:t>；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 xml:space="preserve"> </w:t>
            </w:r>
          </w:p>
          <w:p w14:paraId="5115996D">
            <w:pPr>
              <w:numPr>
                <w:ilvl w:val="0"/>
                <w:numId w:val="181"/>
              </w:numPr>
              <w:adjustRightInd w:val="0"/>
              <w:snapToGrid w:val="0"/>
              <w:spacing w:before="120" w:line="360" w:lineRule="atLeast"/>
              <w:ind w:left="426" w:firstLine="480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HK"/>
              </w:rPr>
              <w:t>本人明白使用葫蘆勾的安全注意事項，並正確放置吊鏈方向；</w:t>
            </w:r>
          </w:p>
          <w:p w14:paraId="44ABD7EB">
            <w:pPr>
              <w:numPr>
                <w:ilvl w:val="0"/>
                <w:numId w:val="181"/>
              </w:numPr>
              <w:adjustRightInd w:val="0"/>
              <w:snapToGrid w:val="0"/>
              <w:spacing w:before="120" w:line="360" w:lineRule="atLeast"/>
              <w:ind w:left="426"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此工作許可證必須張貼於吊運區範圍。</w:t>
            </w:r>
          </w:p>
        </w:tc>
      </w:tr>
      <w:tr w14:paraId="60D1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130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4FCC0462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