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T085</w:t>
      </w:r>
    </w:p>
    <w:p>
      <w:r>
        <w:t>推定名称：風險類別 / A / B / C</w:t>
      </w:r>
    </w:p>
    <w:p>
      <w:r>
        <w:t>制度上下文：四、搭建臨時支架(紅架)安全施工程序(附件11.14) &gt; 五、安全管理 &gt; 附件</w:t>
      </w:r>
    </w:p>
    <w:p>
      <w:r>
        <w:t>来源：安全管理辦法彙編20241025（無修訂版）.docx</w:t>
      </w:r>
    </w:p>
    <w:p>
      <w:r>
        <w:t>表格序号：85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2"/>
        <w:gridCol w:w="2152"/>
        <w:gridCol w:w="2152"/>
        <w:gridCol w:w="2152"/>
      </w:tblGrid>
      <w:tr w14:paraId="60160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152" w:type="dxa"/>
            <w:shd w:val="clear" w:color="auto" w:fill="AEAAAA"/>
            <w:vAlign w:val="center"/>
          </w:tcPr>
          <w:p w14:paraId="36D35C08">
            <w:pPr>
              <w:spacing w:before="120" w:line="320" w:lineRule="atLeast"/>
              <w:jc w:val="center"/>
              <w:rPr>
                <w:rFonts w:ascii="Times New Roman" w:hAnsi="Times New Roman"/>
                <w:szCs w:val="28"/>
                <w:lang w:eastAsia="zh-CN"/>
              </w:rPr>
            </w:pPr>
            <w:r>
              <w:rPr>
                <w:rFonts w:ascii="Times New Roman" w:hAnsi="Times New Roman"/>
                <w:szCs w:val="28"/>
                <w:lang w:eastAsia="zh-CN"/>
              </w:rPr>
              <w:t>風險類別</w:t>
            </w:r>
          </w:p>
        </w:tc>
        <w:tc>
          <w:tcPr>
            <w:tcW w:w="2152" w:type="dxa"/>
            <w:shd w:val="clear" w:color="auto" w:fill="AEAAAA"/>
            <w:vAlign w:val="center"/>
          </w:tcPr>
          <w:p w14:paraId="657E71A0">
            <w:pPr>
              <w:spacing w:before="120" w:line="320" w:lineRule="atLeas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eastAsia="zh-CN"/>
              </w:rPr>
              <w:t>A</w:t>
            </w:r>
          </w:p>
        </w:tc>
        <w:tc>
          <w:tcPr>
            <w:tcW w:w="2152" w:type="dxa"/>
            <w:shd w:val="clear" w:color="auto" w:fill="AEAAAA"/>
            <w:vAlign w:val="center"/>
          </w:tcPr>
          <w:p w14:paraId="3ED9F558">
            <w:pPr>
              <w:spacing w:before="120" w:line="320" w:lineRule="atLeas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B</w:t>
            </w:r>
          </w:p>
        </w:tc>
        <w:tc>
          <w:tcPr>
            <w:tcW w:w="2152" w:type="dxa"/>
            <w:shd w:val="clear" w:color="auto" w:fill="AEAAAA"/>
            <w:vAlign w:val="center"/>
          </w:tcPr>
          <w:p w14:paraId="4AA6123A">
            <w:pPr>
              <w:spacing w:before="120" w:line="320" w:lineRule="atLeas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</w:t>
            </w:r>
          </w:p>
        </w:tc>
      </w:tr>
      <w:tr w14:paraId="4C74D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2152" w:type="dxa"/>
            <w:shd w:val="clear" w:color="auto" w:fill="auto"/>
            <w:vAlign w:val="center"/>
          </w:tcPr>
          <w:p w14:paraId="48D9CF94">
            <w:pPr>
              <w:spacing w:before="120" w:line="320" w:lineRule="atLeas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臨時工程結構</w:t>
            </w:r>
          </w:p>
          <w:p w14:paraId="66FD2DB7">
            <w:pPr>
              <w:spacing w:before="120" w:line="320" w:lineRule="atLeas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(側向承托)</w:t>
            </w:r>
          </w:p>
        </w:tc>
        <w:tc>
          <w:tcPr>
            <w:tcW w:w="2152" w:type="dxa"/>
            <w:shd w:val="clear" w:color="auto" w:fill="auto"/>
            <w:vAlign w:val="center"/>
          </w:tcPr>
          <w:p w14:paraId="19CFB43A">
            <w:pPr>
              <w:spacing w:before="120" w:line="320" w:lineRule="atLeast"/>
              <w:jc w:val="center"/>
              <w:rPr>
                <w:rFonts w:ascii="Times New Roman" w:hAnsi="Times New Roman"/>
                <w:szCs w:val="28"/>
                <w:lang w:eastAsia="zh-CN"/>
              </w:rPr>
            </w:pPr>
            <w:r>
              <w:rPr>
                <w:rFonts w:ascii="Times New Roman" w:hAnsi="Times New Roman"/>
                <w:szCs w:val="28"/>
              </w:rPr>
              <w:t>大型</w:t>
            </w:r>
            <w:r>
              <w:rPr>
                <w:rFonts w:ascii="Times New Roman" w:hAnsi="Times New Roman"/>
                <w:szCs w:val="28"/>
                <w:lang w:eastAsia="zh-CN"/>
              </w:rPr>
              <w:t>/複雜</w:t>
            </w:r>
          </w:p>
        </w:tc>
        <w:tc>
          <w:tcPr>
            <w:tcW w:w="2152" w:type="dxa"/>
            <w:shd w:val="clear" w:color="auto" w:fill="auto"/>
            <w:vAlign w:val="center"/>
          </w:tcPr>
          <w:p w14:paraId="5041DA61">
            <w:pPr>
              <w:spacing w:before="120" w:line="320" w:lineRule="atLeas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中型</w:t>
            </w:r>
          </w:p>
        </w:tc>
        <w:tc>
          <w:tcPr>
            <w:tcW w:w="2152" w:type="dxa"/>
            <w:shd w:val="clear" w:color="auto" w:fill="auto"/>
            <w:vAlign w:val="center"/>
          </w:tcPr>
          <w:p w14:paraId="096395C1">
            <w:pPr>
              <w:spacing w:before="120" w:line="320" w:lineRule="atLeas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簡單</w:t>
            </w:r>
            <w:r>
              <w:rPr>
                <w:rFonts w:ascii="Times New Roman" w:hAnsi="Times New Roman"/>
                <w:szCs w:val="28"/>
                <w:lang w:eastAsia="zh-CN"/>
              </w:rPr>
              <w:t>/小型</w:t>
            </w:r>
          </w:p>
        </w:tc>
      </w:tr>
      <w:tr w14:paraId="36CB9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152" w:type="dxa"/>
            <w:shd w:val="clear" w:color="auto" w:fill="auto"/>
            <w:vAlign w:val="center"/>
          </w:tcPr>
          <w:p w14:paraId="387A1698">
            <w:pPr>
              <w:spacing w:before="120" w:line="320" w:lineRule="atLeas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深度</w:t>
            </w:r>
          </w:p>
        </w:tc>
        <w:tc>
          <w:tcPr>
            <w:tcW w:w="2152" w:type="dxa"/>
            <w:shd w:val="clear" w:color="auto" w:fill="auto"/>
            <w:vAlign w:val="center"/>
          </w:tcPr>
          <w:p w14:paraId="3EC196D1">
            <w:pPr>
              <w:spacing w:before="120" w:line="320" w:lineRule="atLeast"/>
              <w:jc w:val="center"/>
              <w:rPr>
                <w:rFonts w:ascii="Times New Roman" w:hAnsi="Times New Roman"/>
                <w:szCs w:val="28"/>
                <w:lang w:eastAsia="zh-CN"/>
              </w:rPr>
            </w:pPr>
            <w:r>
              <w:rPr>
                <w:rFonts w:ascii="Times New Roman" w:hAnsi="Times New Roman"/>
                <w:szCs w:val="28"/>
              </w:rPr>
              <w:t>大於</w:t>
            </w:r>
            <w:r>
              <w:rPr>
                <w:rFonts w:ascii="Times New Roman" w:hAnsi="Times New Roman"/>
                <w:szCs w:val="28"/>
                <w:lang w:eastAsia="zh-CN"/>
              </w:rPr>
              <w:t>4.5米</w:t>
            </w:r>
          </w:p>
        </w:tc>
        <w:tc>
          <w:tcPr>
            <w:tcW w:w="2152" w:type="dxa"/>
            <w:shd w:val="clear" w:color="auto" w:fill="auto"/>
            <w:vAlign w:val="center"/>
          </w:tcPr>
          <w:p w14:paraId="23C3A259">
            <w:pPr>
              <w:spacing w:before="120" w:line="320" w:lineRule="atLeast"/>
              <w:jc w:val="center"/>
              <w:rPr>
                <w:rFonts w:ascii="Times New Roman" w:hAnsi="Times New Roman"/>
                <w:szCs w:val="28"/>
                <w:lang w:eastAsia="zh-CN"/>
              </w:rPr>
            </w:pPr>
            <w:r>
              <w:rPr>
                <w:rFonts w:ascii="Times New Roman" w:hAnsi="Times New Roman"/>
                <w:szCs w:val="28"/>
              </w:rPr>
              <w:t>2米至</w:t>
            </w:r>
            <w:r>
              <w:rPr>
                <w:rFonts w:ascii="Times New Roman" w:hAnsi="Times New Roman"/>
                <w:szCs w:val="28"/>
                <w:lang w:eastAsia="zh-CN"/>
              </w:rPr>
              <w:t>4.5米</w:t>
            </w:r>
          </w:p>
        </w:tc>
        <w:tc>
          <w:tcPr>
            <w:tcW w:w="2152" w:type="dxa"/>
            <w:shd w:val="clear" w:color="auto" w:fill="auto"/>
            <w:vAlign w:val="center"/>
          </w:tcPr>
          <w:p w14:paraId="233802AE">
            <w:pPr>
              <w:spacing w:before="120" w:line="320" w:lineRule="atLeast"/>
              <w:jc w:val="center"/>
              <w:rPr>
                <w:rFonts w:ascii="Times New Roman" w:hAnsi="Times New Roman"/>
                <w:szCs w:val="28"/>
                <w:lang w:eastAsia="zh-CN"/>
              </w:rPr>
            </w:pPr>
            <w:r>
              <w:rPr>
                <w:rFonts w:ascii="Times New Roman" w:hAnsi="Times New Roman"/>
                <w:szCs w:val="28"/>
              </w:rPr>
              <w:t>小於</w:t>
            </w:r>
            <w:r>
              <w:rPr>
                <w:rFonts w:ascii="Times New Roman" w:hAnsi="Times New Roman"/>
                <w:szCs w:val="28"/>
                <w:lang w:eastAsia="zh-CN"/>
              </w:rPr>
              <w:t>2米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