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T089</w:t>
      </w:r>
    </w:p>
    <w:p>
      <w:r>
        <w:t>推定名称：1 / 遵守勞工處《工作指南：工作安全(臨時支架—防止倒塌)》、屋宇署《地盤監督作業守則》及公司編制的《拆卸側向承托安全工作指引》，確保施工團隊正確履行其職責</w:t>
      </w:r>
    </w:p>
    <w:p>
      <w:r>
        <w:t>制度上下文：四、搭建臨時支架(紅架)安全施工程序(附件11.14) &gt; 五、安全管理 &gt; 附件</w:t>
      </w:r>
    </w:p>
    <w:p>
      <w:r>
        <w:t>来源：安全管理辦法彙編20241025（無修訂版）.docx</w:t>
      </w:r>
    </w:p>
    <w:p>
      <w:r>
        <w:t>表格序号：89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95"/>
        <w:gridCol w:w="8505"/>
      </w:tblGrid>
      <w:tr w14:paraId="10DAF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45D266DD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jc w:val="center"/>
              <w:rPr>
                <w:lang w:eastAsia="zh-CN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8505" w:type="dxa"/>
            <w:vAlign w:val="center"/>
          </w:tcPr>
          <w:p w14:paraId="33C111F7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/>
              <w:jc w:val="both"/>
            </w:pPr>
            <w:r>
              <w:rPr>
                <w:kern w:val="0"/>
              </w:rPr>
              <w:t>遵守勞工處《工作指南：工作安全(臨時支架—防止倒塌</w:t>
            </w:r>
            <w:r>
              <w:rPr>
                <w:rFonts w:hint="eastAsia" w:eastAsiaTheme="minorEastAsia"/>
                <w:kern w:val="0"/>
              </w:rPr>
              <w:t>)</w:t>
            </w:r>
            <w:r>
              <w:rPr>
                <w:kern w:val="0"/>
              </w:rPr>
              <w:t>》</w:t>
            </w:r>
            <w:r>
              <w:rPr>
                <w:rFonts w:hint="eastAsia"/>
                <w:kern w:val="0"/>
              </w:rPr>
              <w:t>、屋宇署《地盤監督作業守則》</w:t>
            </w:r>
            <w:r>
              <w:rPr>
                <w:kern w:val="0"/>
              </w:rPr>
              <w:t>及公司編制的《</w:t>
            </w:r>
            <w:r>
              <w:rPr>
                <w:rFonts w:hint="eastAsia"/>
                <w:kern w:val="0"/>
              </w:rPr>
              <w:t>拆卸</w:t>
            </w:r>
            <w:r>
              <w:rPr>
                <w:kern w:val="0"/>
              </w:rPr>
              <w:t>側向承托安全工作指引》，確保施工團隊正確履行其職責</w:t>
            </w:r>
          </w:p>
        </w:tc>
      </w:tr>
      <w:tr w14:paraId="75A61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3B3D56B9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jc w:val="center"/>
              <w:rPr>
                <w:rFonts w:eastAsiaTheme="minorEastAsia"/>
                <w:szCs w:val="22"/>
              </w:rPr>
            </w:pPr>
            <w:r>
              <w:rPr>
                <w:rFonts w:hint="eastAsia" w:eastAsiaTheme="minorEastAsia"/>
                <w:szCs w:val="22"/>
              </w:rPr>
              <w:t>2</w:t>
            </w:r>
          </w:p>
        </w:tc>
        <w:tc>
          <w:tcPr>
            <w:tcW w:w="8505" w:type="dxa"/>
            <w:vAlign w:val="center"/>
          </w:tcPr>
          <w:p w14:paraId="3B34DA43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right="28" w:rightChars="10"/>
              <w:jc w:val="both"/>
              <w:rPr>
                <w:kern w:val="0"/>
              </w:rPr>
            </w:pPr>
            <w:r>
              <w:rPr>
                <w:rFonts w:hint="eastAsia"/>
                <w:kern w:val="0"/>
              </w:rPr>
              <w:t>根據施工設計圖編制初步施工方案及拆卸次序</w:t>
            </w:r>
          </w:p>
        </w:tc>
      </w:tr>
      <w:tr w14:paraId="2D564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006B6BDA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8505" w:type="dxa"/>
            <w:vAlign w:val="center"/>
          </w:tcPr>
          <w:p w14:paraId="341539C7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right="28" w:rightChars="10"/>
              <w:jc w:val="both"/>
              <w:rPr>
                <w:kern w:val="0"/>
              </w:rPr>
            </w:pPr>
            <w:r>
              <w:rPr>
                <w:rFonts w:hint="eastAsia"/>
                <w:kern w:val="0"/>
              </w:rPr>
              <w:t>於現場監督整個拆卸側向承托工序</w:t>
            </w:r>
          </w:p>
        </w:tc>
      </w:tr>
      <w:tr w14:paraId="23889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62107E1B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jc w:val="center"/>
              <w:rPr>
                <w:szCs w:val="22"/>
              </w:rPr>
            </w:pPr>
            <w:r>
              <w:rPr>
                <w:szCs w:val="22"/>
                <w:lang w:eastAsia="zh-CN"/>
              </w:rPr>
              <w:t>4</w:t>
            </w:r>
          </w:p>
        </w:tc>
        <w:tc>
          <w:tcPr>
            <w:tcW w:w="8505" w:type="dxa"/>
            <w:vAlign w:val="center"/>
          </w:tcPr>
          <w:p w14:paraId="2DC2C191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right="28" w:rightChars="10"/>
              <w:jc w:val="both"/>
              <w:rPr>
                <w:kern w:val="0"/>
              </w:rPr>
            </w:pPr>
            <w:r>
              <w:rPr>
                <w:rFonts w:hint="eastAsia"/>
                <w:kern w:val="0"/>
              </w:rPr>
              <w:t>負責確保現場執行拆卸側向承托各方面的安全事項</w:t>
            </w:r>
          </w:p>
        </w:tc>
      </w:tr>
      <w:tr w14:paraId="78322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4AB36D4B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jc w:val="center"/>
              <w:rPr>
                <w:szCs w:val="22"/>
              </w:rPr>
            </w:pPr>
            <w:r>
              <w:rPr>
                <w:szCs w:val="22"/>
                <w:lang w:eastAsia="zh-CN"/>
              </w:rPr>
              <w:t>5</w:t>
            </w:r>
          </w:p>
        </w:tc>
        <w:tc>
          <w:tcPr>
            <w:tcW w:w="8505" w:type="dxa"/>
            <w:vAlign w:val="center"/>
          </w:tcPr>
          <w:p w14:paraId="6074B434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right="28" w:rightChars="10"/>
              <w:jc w:val="both"/>
              <w:rPr>
                <w:kern w:val="0"/>
              </w:rPr>
            </w:pPr>
            <w:r>
              <w:rPr>
                <w:rFonts w:hint="eastAsia"/>
                <w:kern w:val="0"/>
              </w:rPr>
              <w:t>向負責拆卸工序的現場施工</w:t>
            </w:r>
            <w:r>
              <w:rPr>
                <w:rFonts w:hint="eastAsia" w:ascii="Times New Roman" w:hAnsi="Times New Roman"/>
                <w:szCs w:val="28"/>
              </w:rPr>
              <w:t>人員</w:t>
            </w:r>
            <w:r>
              <w:rPr>
                <w:rFonts w:hint="eastAsia"/>
                <w:kern w:val="0"/>
              </w:rPr>
              <w:t>清晰講解施工方案及安全施工程序，並確保進行工序及附近工作的人員安全</w:t>
            </w:r>
          </w:p>
        </w:tc>
      </w:tr>
      <w:tr w14:paraId="5CBF2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36FDCC22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jc w:val="center"/>
              <w:rPr>
                <w:szCs w:val="22"/>
              </w:rPr>
            </w:pPr>
            <w:r>
              <w:rPr>
                <w:szCs w:val="22"/>
                <w:lang w:eastAsia="zh-CN"/>
              </w:rPr>
              <w:t>6</w:t>
            </w:r>
          </w:p>
        </w:tc>
        <w:tc>
          <w:tcPr>
            <w:tcW w:w="8505" w:type="dxa"/>
            <w:vAlign w:val="center"/>
          </w:tcPr>
          <w:p w14:paraId="418D172F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right="28" w:rightChars="10"/>
              <w:jc w:val="both"/>
              <w:rPr>
                <w:kern w:val="0"/>
              </w:rPr>
            </w:pPr>
            <w:r>
              <w:rPr>
                <w:rFonts w:hint="eastAsia"/>
                <w:kern w:val="0"/>
              </w:rPr>
              <w:t>若現場未有按已審批的施工方案及安全施工程序施工，須要求採取適當的整改措施，否則有權力和責任發出停工整改命令(局部)</w:t>
            </w:r>
          </w:p>
        </w:tc>
      </w:tr>
      <w:tr w14:paraId="77378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2D9F813A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8505" w:type="dxa"/>
            <w:vAlign w:val="center"/>
          </w:tcPr>
          <w:p w14:paraId="5B2D62E3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right="28" w:rightChars="10"/>
              <w:jc w:val="both"/>
              <w:rPr>
                <w:kern w:val="0"/>
              </w:rPr>
            </w:pPr>
            <w:r>
              <w:rPr>
                <w:rFonts w:hint="eastAsia"/>
                <w:kern w:val="0"/>
              </w:rPr>
              <w:t>直接向承建商代表/地盤經理匯報所有相關事項，向工程經理匯報工程事項</w:t>
            </w:r>
          </w:p>
        </w:tc>
      </w:tr>
      <w:tr w14:paraId="62C24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299B7124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jc w:val="center"/>
              <w:rPr>
                <w:szCs w:val="22"/>
                <w:lang w:eastAsia="zh-CN"/>
              </w:rPr>
            </w:pPr>
            <w:r>
              <w:rPr>
                <w:szCs w:val="22"/>
                <w:lang w:eastAsia="zh-CN"/>
              </w:rPr>
              <w:t>8</w:t>
            </w:r>
          </w:p>
        </w:tc>
        <w:tc>
          <w:tcPr>
            <w:tcW w:w="8505" w:type="dxa"/>
            <w:vAlign w:val="center"/>
          </w:tcPr>
          <w:p w14:paraId="4B504DB7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right="28" w:rightChars="10"/>
              <w:jc w:val="both"/>
              <w:rPr>
                <w:kern w:val="0"/>
              </w:rPr>
            </w:pPr>
            <w:r>
              <w:rPr>
                <w:rFonts w:hint="eastAsia"/>
                <w:kern w:val="0"/>
              </w:rPr>
              <w:t>發起拆卸側向承托許可證(附件二)申請</w:t>
            </w:r>
          </w:p>
        </w:tc>
      </w:tr>
      <w:tr w14:paraId="05620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51DB94C3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jc w:val="center"/>
              <w:rPr>
                <w:szCs w:val="22"/>
                <w:lang w:eastAsia="zh-CN"/>
              </w:rPr>
            </w:pPr>
            <w:r>
              <w:rPr>
                <w:szCs w:val="22"/>
                <w:lang w:eastAsia="zh-CN"/>
              </w:rPr>
              <w:t>9</w:t>
            </w:r>
          </w:p>
        </w:tc>
        <w:tc>
          <w:tcPr>
            <w:tcW w:w="8505" w:type="dxa"/>
            <w:vAlign w:val="center"/>
          </w:tcPr>
          <w:p w14:paraId="6FE6D40E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right="28" w:rightChars="10"/>
              <w:jc w:val="both"/>
              <w:rPr>
                <w:kern w:val="0"/>
              </w:rPr>
            </w:pPr>
            <w:r>
              <w:rPr>
                <w:rFonts w:hint="eastAsia"/>
                <w:kern w:val="0"/>
              </w:rPr>
              <w:t>出席施工前安全交底、每日開工前安全培訓及專項安全培訓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