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T149</w:t>
      </w:r>
    </w:p>
    <w:p>
      <w:r>
        <w:t>推定名称：完成檢查後，將報告發送至工程公司，工程公司匯總地盤情況後將整體情況報告至安全環保部；</w:t>
      </w:r>
    </w:p>
    <w:p>
      <w:r>
        <w:t>制度上下文：2.2.4 施工機械重點管理 &gt; 2.2.5其他現場管理措施 &gt; 3.1 隱患排查及災害處理</w:t>
      </w:r>
    </w:p>
    <w:p>
      <w:r>
        <w:t>来源：安全管理辦法彙編20241025（無修訂版）.docx</w:t>
      </w:r>
    </w:p>
    <w:p>
      <w:r>
        <w:t>表格序号：149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260"/>
        <w:gridCol w:w="3254"/>
      </w:tblGrid>
      <w:tr w14:paraId="6551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shd w:val="clear" w:color="auto" w:fill="D8D8D8" w:themeFill="background1" w:themeFillShade="D9"/>
            <w:vAlign w:val="center"/>
          </w:tcPr>
          <w:p w14:paraId="39EE5607">
            <w:pPr>
              <w:jc w:val="center"/>
              <w:rPr>
                <w:rFonts w:ascii="Times New Roman" w:hAnsi="Times New Roman"/>
                <w:b/>
                <w:sz w:val="21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1"/>
              </w:rPr>
              <w:t>項目</w:t>
            </w:r>
          </w:p>
        </w:tc>
        <w:tc>
          <w:tcPr>
            <w:tcW w:w="3260" w:type="dxa"/>
            <w:shd w:val="clear" w:color="auto" w:fill="D8D8D8" w:themeFill="background1" w:themeFillShade="D9"/>
            <w:vAlign w:val="center"/>
          </w:tcPr>
          <w:p w14:paraId="07670B36">
            <w:pPr>
              <w:jc w:val="center"/>
              <w:rPr>
                <w:rFonts w:ascii="Times New Roman" w:hAnsi="Times New Roman"/>
                <w:b/>
                <w:sz w:val="21"/>
              </w:rPr>
            </w:pPr>
            <w:r>
              <w:rPr>
                <w:rFonts w:hint="eastAsia" w:ascii="Times New Roman" w:hAnsi="Times New Roman"/>
                <w:b/>
                <w:sz w:val="21"/>
              </w:rPr>
              <w:t>塔吊、開士機、</w:t>
            </w:r>
          </w:p>
          <w:p w14:paraId="1725C0BB">
            <w:pPr>
              <w:jc w:val="center"/>
              <w:rPr>
                <w:rFonts w:ascii="Times New Roman" w:hAnsi="Times New Roman"/>
                <w:b/>
                <w:sz w:val="21"/>
              </w:rPr>
            </w:pPr>
            <w:r>
              <w:rPr>
                <w:rFonts w:hint="eastAsia" w:ascii="Times New Roman" w:hAnsi="Times New Roman"/>
                <w:b/>
                <w:sz w:val="21"/>
              </w:rPr>
              <w:t>工人籠等機械</w:t>
            </w:r>
          </w:p>
        </w:tc>
        <w:tc>
          <w:tcPr>
            <w:tcW w:w="3254" w:type="dxa"/>
            <w:shd w:val="clear" w:color="auto" w:fill="D8D8D8" w:themeFill="background1" w:themeFillShade="D9"/>
            <w:vAlign w:val="center"/>
          </w:tcPr>
          <w:p w14:paraId="1E5F7C8F">
            <w:pPr>
              <w:jc w:val="center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b/>
                <w:sz w:val="21"/>
              </w:rPr>
              <w:t>起重機械、挖土機、</w:t>
            </w:r>
          </w:p>
          <w:p w14:paraId="503A3D62">
            <w:pPr>
              <w:jc w:val="center"/>
              <w:rPr>
                <w:rFonts w:ascii="Times New Roman" w:hAnsi="Times New Roman"/>
                <w:b/>
                <w:sz w:val="21"/>
              </w:rPr>
            </w:pPr>
            <w:r>
              <w:rPr>
                <w:rFonts w:hint="eastAsia" w:ascii="Times New Roman" w:hAnsi="Times New Roman"/>
                <w:b/>
                <w:sz w:val="21"/>
              </w:rPr>
              <w:t>工程運輸等機械</w:t>
            </w:r>
          </w:p>
        </w:tc>
      </w:tr>
      <w:tr w14:paraId="26BF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CF4CB2C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  <w:r>
              <w:rPr>
                <w:rFonts w:hint="eastAsia" w:ascii="Times New Roman" w:hAnsi="Times New Roman"/>
                <w:sz w:val="21"/>
              </w:rPr>
              <w:t>號及以上颱風警告後復工安排</w:t>
            </w:r>
          </w:p>
        </w:tc>
        <w:tc>
          <w:tcPr>
            <w:tcW w:w="3260" w:type="dxa"/>
            <w:vAlign w:val="center"/>
          </w:tcPr>
          <w:p w14:paraId="262301EC">
            <w:pPr>
              <w:pStyle w:val="29"/>
              <w:snapToGrid w:val="0"/>
              <w:spacing w:before="24" w:beforeLines="10" w:after="24" w:afterLines="10"/>
              <w:ind w:left="560" w:firstLine="0" w:firstLineChars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機械公司安排合資格檢查人員對塔吊的結構、錨固部份、鋼絲繩、技術狀況和安全性能進行一次詳細檢查；按實際影響需要，安排</w:t>
            </w:r>
            <w:r>
              <w:rPr>
                <w:rFonts w:ascii="Times New Roman" w:hAnsi="Times New Roman"/>
                <w:sz w:val="21"/>
              </w:rPr>
              <w:t>RPE</w:t>
            </w:r>
            <w:r>
              <w:rPr>
                <w:rFonts w:hint="eastAsia" w:ascii="Times New Roman" w:hAnsi="Times New Roman"/>
                <w:sz w:val="21"/>
              </w:rPr>
              <w:t>檢驗。</w:t>
            </w:r>
          </w:p>
        </w:tc>
        <w:tc>
          <w:tcPr>
            <w:tcW w:w="3254" w:type="dxa"/>
            <w:vAlign w:val="center"/>
          </w:tcPr>
          <w:p w14:paraId="280D7149">
            <w:pPr>
              <w:pStyle w:val="29"/>
              <w:snapToGrid w:val="0"/>
              <w:spacing w:before="24" w:beforeLines="10" w:after="24" w:afterLines="10"/>
              <w:ind w:left="560" w:firstLine="0" w:firstLineChars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操作員對設備進行使用前檢查，一切正常後，才可使用。如對機械安全有懷疑，通知機械公司安排合資格檢查人員檢查；按實際影響需要，安排</w:t>
            </w:r>
            <w:r>
              <w:rPr>
                <w:rFonts w:ascii="Times New Roman" w:hAnsi="Times New Roman"/>
                <w:sz w:val="21"/>
              </w:rPr>
              <w:t>RPE</w:t>
            </w:r>
            <w:r>
              <w:rPr>
                <w:rFonts w:hint="eastAsia" w:ascii="Times New Roman" w:hAnsi="Times New Roman"/>
                <w:sz w:val="21"/>
              </w:rPr>
              <w:t>檢驗。</w:t>
            </w:r>
          </w:p>
        </w:tc>
      </w:tr>
      <w:tr w14:paraId="05CF5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44EE8CB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黑色暴雨警告後復工安排</w:t>
            </w:r>
          </w:p>
        </w:tc>
        <w:tc>
          <w:tcPr>
            <w:tcW w:w="3260" w:type="dxa"/>
            <w:vAlign w:val="center"/>
          </w:tcPr>
          <w:p w14:paraId="02456AF9">
            <w:pPr>
              <w:pStyle w:val="29"/>
              <w:snapToGrid w:val="0"/>
              <w:spacing w:before="24" w:beforeLines="10" w:after="24" w:afterLines="10"/>
              <w:ind w:left="560" w:firstLine="0" w:firstLineChars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操作員對設備進行使用前檢查，一切正常後，才可接通電源；按實際影響情況安排。</w:t>
            </w:r>
          </w:p>
        </w:tc>
        <w:tc>
          <w:tcPr>
            <w:tcW w:w="3254" w:type="dxa"/>
            <w:vAlign w:val="center"/>
          </w:tcPr>
          <w:p w14:paraId="3C2580EA">
            <w:pPr>
              <w:pStyle w:val="29"/>
              <w:snapToGrid w:val="0"/>
              <w:spacing w:before="24" w:beforeLines="10" w:after="24" w:afterLines="10"/>
              <w:ind w:left="560" w:firstLine="0" w:firstLineChars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操作員對設備進行使用前檢查，一切正常後，才可使用；按實際影響情況安排。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