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T041</w:t>
      </w:r>
    </w:p>
    <w:p>
      <w:r>
        <w:t>推定名称：外租與分判商起重機及打樁機入場使用前審批資料表(續)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表格序号：41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76"/>
        <w:gridCol w:w="3544"/>
        <w:gridCol w:w="1276"/>
        <w:gridCol w:w="3402"/>
      </w:tblGrid>
      <w:tr w14:paraId="2A05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8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7AF2909">
            <w:pPr>
              <w:spacing w:before="24" w:beforeLines="10" w:after="24" w:afterLines="1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機械型號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5C61E66">
            <w:pPr>
              <w:spacing w:before="24" w:beforeLines="10" w:after="24" w:afterLines="1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C8930FB">
            <w:pPr>
              <w:spacing w:before="24" w:beforeLines="10" w:after="24" w:afterLines="1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自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編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號：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628E5D3">
            <w:pPr>
              <w:spacing w:before="24" w:beforeLines="10" w:after="24" w:afterLines="1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