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T055</w:t>
      </w:r>
    </w:p>
    <w:p>
      <w:r>
        <w:t>推定名称：現委任閣下由即日起擔任本地盤貨車式起重機文件檢查員，負責執行以下事項: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4295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CB007CB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</w:p>
        </w:tc>
        <w:tc>
          <w:tcPr>
            <w:tcW w:w="8505" w:type="dxa"/>
            <w:vAlign w:val="center"/>
          </w:tcPr>
          <w:p w14:paraId="2827C14D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在貨車式起重機進入地盤前對如下指定文件進行檢查：</w:t>
            </w:r>
          </w:p>
          <w:p w14:paraId="182F768D">
            <w:pPr>
              <w:pStyle w:val="29"/>
              <w:numPr>
                <w:ilvl w:val="0"/>
                <w:numId w:val="182"/>
              </w:numPr>
              <w:spacing w:before="360"/>
              <w:ind w:firstLineChars="0"/>
            </w:pPr>
            <w:r>
              <w:rPr>
                <w:rFonts w:hint="eastAsia"/>
              </w:rPr>
              <w:t>貨車式起重機法定證明書</w:t>
            </w:r>
          </w:p>
          <w:p w14:paraId="6FE3AEF3">
            <w:pPr>
              <w:pStyle w:val="29"/>
              <w:numPr>
                <w:ilvl w:val="0"/>
                <w:numId w:val="182"/>
              </w:numPr>
              <w:spacing w:before="360"/>
              <w:ind w:firstLineChars="0"/>
            </w:pPr>
            <w:r>
              <w:rPr>
                <w:rFonts w:hint="eastAsia"/>
              </w:rPr>
              <w:t>起重機製造商的操作手冊</w:t>
            </w:r>
          </w:p>
          <w:p w14:paraId="0CBB952B">
            <w:pPr>
              <w:pStyle w:val="29"/>
              <w:numPr>
                <w:ilvl w:val="0"/>
                <w:numId w:val="182"/>
              </w:numPr>
              <w:spacing w:before="360"/>
              <w:ind w:firstLineChars="0"/>
            </w:pPr>
            <w:r>
              <w:rPr>
                <w:rFonts w:hint="eastAsia"/>
              </w:rPr>
              <w:t>起重機維修記錄簿</w:t>
            </w:r>
          </w:p>
          <w:p w14:paraId="135653E3">
            <w:pPr>
              <w:pStyle w:val="29"/>
              <w:numPr>
                <w:ilvl w:val="0"/>
                <w:numId w:val="182"/>
              </w:numPr>
              <w:spacing w:before="360"/>
              <w:ind w:firstLineChars="0"/>
            </w:pPr>
            <w:r>
              <w:rPr>
                <w:rFonts w:hint="eastAsia"/>
              </w:rPr>
              <w:t>起重機操作員、訊號員、埋碼員等有關人員的證書</w:t>
            </w:r>
          </w:p>
          <w:p w14:paraId="71DCE6F5">
            <w:pPr>
              <w:pStyle w:val="29"/>
              <w:numPr>
                <w:ilvl w:val="0"/>
                <w:numId w:val="182"/>
              </w:numPr>
              <w:spacing w:before="360"/>
              <w:ind w:firstLineChars="0"/>
            </w:pPr>
            <w:r>
              <w:rPr>
                <w:rFonts w:hint="eastAsia"/>
              </w:rPr>
              <w:t>起重裝置的法定證明書</w:t>
            </w:r>
          </w:p>
        </w:tc>
      </w:tr>
      <w:tr w14:paraId="1579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F14C778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2</w:t>
            </w:r>
          </w:p>
        </w:tc>
        <w:tc>
          <w:tcPr>
            <w:tcW w:w="8505" w:type="dxa"/>
            <w:vAlign w:val="center"/>
          </w:tcPr>
          <w:p w14:paraId="0B3543E1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檢查貨車式起重機具備全部有效指定文件後，向貨車式起重機發出相應的《貨車式起重機吊運許可證》</w:t>
            </w:r>
          </w:p>
        </w:tc>
      </w:tr>
      <w:tr w14:paraId="134E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9679D4F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3</w:t>
            </w:r>
          </w:p>
        </w:tc>
        <w:tc>
          <w:tcPr>
            <w:tcW w:w="8505" w:type="dxa"/>
            <w:vAlign w:val="center"/>
          </w:tcPr>
          <w:p w14:paraId="170AC5AE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指示貨車式起重機駛向指定吊運地點</w:t>
            </w:r>
          </w:p>
        </w:tc>
      </w:tr>
      <w:tr w14:paraId="5C10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0C2FE62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505" w:type="dxa"/>
            <w:vAlign w:val="center"/>
          </w:tcPr>
          <w:p w14:paraId="13A5D60A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通知吊運監督員對貨車式起重機進行吊運檢查</w:t>
            </w:r>
          </w:p>
        </w:tc>
      </w:tr>
      <w:tr w14:paraId="6713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FAE3FFA">
            <w:pPr>
              <w:autoSpaceDE w:val="0"/>
              <w:autoSpaceDN w:val="0"/>
              <w:adjustRightInd w:val="0"/>
              <w:snapToGrid w:val="0"/>
              <w:spacing w:before="108" w:beforeLines="30" w:after="108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8505" w:type="dxa"/>
            <w:vAlign w:val="center"/>
          </w:tcPr>
          <w:p w14:paraId="2AD922A7">
            <w:pPr>
              <w:pStyle w:val="14"/>
              <w:spacing w:before="180"/>
              <w:ind w:firstLine="480"/>
              <w:rPr>
                <w:rFonts w:ascii="Times New Roman" w:hAnsi="Times New Roman" w:cs="FangSong"/>
              </w:rPr>
            </w:pPr>
            <w:r>
              <w:rPr>
                <w:rFonts w:hint="eastAsia" w:ascii="Times New Roman" w:hAnsi="Times New Roman" w:cs="FangSong"/>
              </w:rPr>
              <w:t>對《貨車式起重機吊運許可證》的收發進行管理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