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T063</w:t>
      </w:r>
    </w:p>
    <w:p>
      <w:r>
        <w:t>推定名称：註：其他危險品的豁免量可參考消防處-《危險品清單》內的列表。</w:t>
      </w:r>
    </w:p>
    <w:p>
      <w:r>
        <w:t>制度上下文：7.4充電安全 &gt; 7.5 辦公室 &gt; 7.6 危險品貯存倉</w:t>
      </w:r>
    </w:p>
    <w:p>
      <w:r>
        <w:t>来源：安全管理辦法彙編20241025（無修訂版）.docx</w:t>
      </w:r>
    </w:p>
    <w:p>
      <w:r>
        <w:t>表格序号：63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8079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4677"/>
      </w:tblGrid>
      <w:tr w14:paraId="16039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shd w:val="clear" w:color="auto" w:fill="auto"/>
          </w:tcPr>
          <w:p w14:paraId="40902265">
            <w:pPr>
              <w:spacing w:before="120" w:beforeLines="5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u w:val="single"/>
              </w:rPr>
              <w:t>危險品(種類)</w:t>
            </w:r>
          </w:p>
        </w:tc>
        <w:tc>
          <w:tcPr>
            <w:tcW w:w="4677" w:type="dxa"/>
            <w:shd w:val="clear" w:color="auto" w:fill="auto"/>
          </w:tcPr>
          <w:p w14:paraId="7484642A">
            <w:pPr>
              <w:spacing w:before="120" w:beforeLines="5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u w:val="single"/>
              </w:rPr>
              <w:t>工業處所總豁免量</w:t>
            </w:r>
          </w:p>
        </w:tc>
      </w:tr>
      <w:tr w14:paraId="0A88C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shd w:val="clear" w:color="auto" w:fill="auto"/>
          </w:tcPr>
          <w:p w14:paraId="23262DC2">
            <w:pPr>
              <w:spacing w:before="120" w:beforeLines="5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第2類</w:t>
            </w:r>
          </w:p>
        </w:tc>
        <w:tc>
          <w:tcPr>
            <w:tcW w:w="4677" w:type="dxa"/>
            <w:shd w:val="clear" w:color="auto" w:fill="auto"/>
          </w:tcPr>
          <w:p w14:paraId="0AB6312A">
            <w:pPr>
              <w:spacing w:before="120" w:beforeLines="5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450公升(容水量)</w:t>
            </w:r>
          </w:p>
        </w:tc>
      </w:tr>
      <w:tr w14:paraId="28A42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shd w:val="clear" w:color="auto" w:fill="auto"/>
          </w:tcPr>
          <w:p w14:paraId="3C8F81E2">
            <w:pPr>
              <w:spacing w:before="120" w:beforeLines="5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第3類(漆油物料除外)</w:t>
            </w:r>
          </w:p>
        </w:tc>
        <w:tc>
          <w:tcPr>
            <w:tcW w:w="4677" w:type="dxa"/>
            <w:shd w:val="clear" w:color="auto" w:fill="auto"/>
          </w:tcPr>
          <w:p w14:paraId="687697A3">
            <w:pPr>
              <w:spacing w:before="120" w:beforeLines="5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150公升</w:t>
            </w:r>
          </w:p>
        </w:tc>
      </w:tr>
      <w:tr w14:paraId="3C4F2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shd w:val="clear" w:color="auto" w:fill="auto"/>
          </w:tcPr>
          <w:p w14:paraId="3D9B4F29">
            <w:pPr>
              <w:spacing w:before="120" w:beforeLines="5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第4/ 5/ 6.1/ 8/ 9類</w:t>
            </w:r>
          </w:p>
        </w:tc>
        <w:tc>
          <w:tcPr>
            <w:tcW w:w="4677" w:type="dxa"/>
            <w:shd w:val="clear" w:color="auto" w:fill="auto"/>
          </w:tcPr>
          <w:p w14:paraId="0A38B39C">
            <w:pPr>
              <w:spacing w:before="120" w:beforeLines="5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1,000公升(液體)/1,000公斤(固體)</w:t>
            </w:r>
          </w:p>
        </w:tc>
      </w:tr>
      <w:tr w14:paraId="2355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shd w:val="clear" w:color="auto" w:fill="auto"/>
          </w:tcPr>
          <w:p w14:paraId="43B43CC0">
            <w:pPr>
              <w:spacing w:before="120" w:beforeLines="5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漆油物料</w:t>
            </w:r>
          </w:p>
        </w:tc>
        <w:tc>
          <w:tcPr>
            <w:tcW w:w="4677" w:type="dxa"/>
            <w:shd w:val="clear" w:color="auto" w:fill="auto"/>
          </w:tcPr>
          <w:p w14:paraId="748B6957">
            <w:pPr>
              <w:spacing w:before="120" w:beforeLines="5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250公升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