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T087</w:t>
      </w:r>
    </w:p>
    <w:p>
      <w:r>
        <w:t>推定名称：1 / 嚴格管理所有有關人士遵守勞工處編制的《工作指南：工作安全(臨時支架—防止倒塌)》、屋宇署《地盤監督作業守則》及公司編制的《拆卸側向承托安全工作指引》</w:t>
      </w:r>
    </w:p>
    <w:p>
      <w:r>
        <w:t>制度上下文：四、搭建臨時支架(紅架)安全施工程序(附件11.14) &gt; 五、安全管理 &gt; 附件</w:t>
      </w:r>
    </w:p>
    <w:p>
      <w:r>
        <w:t>来源：安全管理辦法彙編20241025（無修訂版）.docx</w:t>
      </w:r>
    </w:p>
    <w:p>
      <w:r>
        <w:t>表格序号：87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7"/>
        <w:tblW w:w="91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595"/>
        <w:gridCol w:w="8505"/>
      </w:tblGrid>
      <w:tr w14:paraId="3BA693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</w:trPr>
        <w:tc>
          <w:tcPr>
            <w:tcW w:w="595" w:type="dxa"/>
            <w:vAlign w:val="center"/>
          </w:tcPr>
          <w:p w14:paraId="543DBF60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jc w:val="center"/>
              <w:rPr>
                <w:lang w:eastAsia="zh-CN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8505" w:type="dxa"/>
            <w:vAlign w:val="center"/>
          </w:tcPr>
          <w:p w14:paraId="5FE3A7BB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left="28" w:leftChars="10" w:right="28" w:rightChars="10"/>
              <w:jc w:val="both"/>
            </w:pPr>
            <w:r>
              <w:rPr>
                <w:kern w:val="0"/>
              </w:rPr>
              <w:t>嚴格管理</w:t>
            </w:r>
            <w:r>
              <w:rPr>
                <w:rFonts w:hint="eastAsia"/>
                <w:kern w:val="0"/>
              </w:rPr>
              <w:t>所有有關人士</w:t>
            </w:r>
            <w:r>
              <w:rPr>
                <w:kern w:val="0"/>
              </w:rPr>
              <w:t>遵守勞工處編制的《</w:t>
            </w:r>
            <w:r>
              <w:rPr>
                <w:rFonts w:hint="eastAsia"/>
                <w:kern w:val="0"/>
              </w:rPr>
              <w:t>工作指南：工作安全(臨時支架—防止倒塌)</w:t>
            </w:r>
            <w:r>
              <w:rPr>
                <w:kern w:val="0"/>
              </w:rPr>
              <w:t>》</w:t>
            </w:r>
            <w:r>
              <w:rPr>
                <w:rFonts w:hint="eastAsia"/>
                <w:kern w:val="0"/>
              </w:rPr>
              <w:t>、屋宇署《地盤監督作業守則》</w:t>
            </w:r>
            <w:r>
              <w:rPr>
                <w:kern w:val="0"/>
              </w:rPr>
              <w:t>及公司編制的《</w:t>
            </w:r>
            <w:r>
              <w:rPr>
                <w:rFonts w:hint="eastAsia"/>
                <w:kern w:val="0"/>
              </w:rPr>
              <w:t>拆卸</w:t>
            </w:r>
            <w:r>
              <w:rPr>
                <w:kern w:val="0"/>
              </w:rPr>
              <w:t>側向承托安全工作指引》</w:t>
            </w:r>
          </w:p>
        </w:tc>
      </w:tr>
      <w:tr w14:paraId="3E065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</w:trPr>
        <w:tc>
          <w:tcPr>
            <w:tcW w:w="595" w:type="dxa"/>
            <w:vAlign w:val="center"/>
          </w:tcPr>
          <w:p w14:paraId="006E50DD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jc w:val="center"/>
              <w:rPr>
                <w:lang w:eastAsia="zh-CN"/>
              </w:rPr>
            </w:pPr>
            <w:r>
              <w:rPr>
                <w:szCs w:val="22"/>
                <w:lang w:eastAsia="zh-CN"/>
              </w:rPr>
              <w:t>2</w:t>
            </w:r>
          </w:p>
        </w:tc>
        <w:tc>
          <w:tcPr>
            <w:tcW w:w="8505" w:type="dxa"/>
            <w:vAlign w:val="center"/>
          </w:tcPr>
          <w:p w14:paraId="2320D7DF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left="28" w:leftChars="10" w:right="28" w:rightChars="10"/>
              <w:jc w:val="both"/>
              <w:rPr>
                <w:rFonts w:eastAsiaTheme="minorEastAsia"/>
                <w:kern w:val="0"/>
              </w:rPr>
            </w:pPr>
            <w:r>
              <w:rPr>
                <w:rFonts w:hint="eastAsia"/>
                <w:kern w:val="0"/>
              </w:rPr>
              <w:t>管理</w:t>
            </w:r>
            <w:r>
              <w:rPr>
                <w:kern w:val="0"/>
              </w:rPr>
              <w:t>拆卸</w:t>
            </w:r>
            <w:r>
              <w:rPr>
                <w:rFonts w:hint="eastAsia"/>
                <w:kern w:val="0"/>
              </w:rPr>
              <w:t>側向承托規劃，促進管理團隊與施工團隊有效溝通，減少</w:t>
            </w:r>
            <w:r>
              <w:rPr>
                <w:kern w:val="0"/>
              </w:rPr>
              <w:t>拆卸</w:t>
            </w:r>
            <w:r>
              <w:rPr>
                <w:rFonts w:hint="eastAsia"/>
                <w:kern w:val="0"/>
              </w:rPr>
              <w:t>過程中出現的安全隱患</w:t>
            </w:r>
          </w:p>
        </w:tc>
      </w:tr>
      <w:tr w14:paraId="1F2CF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</w:trPr>
        <w:tc>
          <w:tcPr>
            <w:tcW w:w="595" w:type="dxa"/>
            <w:vAlign w:val="center"/>
          </w:tcPr>
          <w:p w14:paraId="148137EB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jc w:val="center"/>
              <w:rPr>
                <w:rFonts w:eastAsiaTheme="minorEastAsia"/>
                <w:szCs w:val="22"/>
              </w:rPr>
            </w:pPr>
            <w:r>
              <w:rPr>
                <w:rFonts w:hint="eastAsia" w:eastAsiaTheme="minorEastAsia"/>
                <w:szCs w:val="22"/>
              </w:rPr>
              <w:t>3</w:t>
            </w:r>
          </w:p>
        </w:tc>
        <w:tc>
          <w:tcPr>
            <w:tcW w:w="8505" w:type="dxa"/>
            <w:vAlign w:val="center"/>
          </w:tcPr>
          <w:p w14:paraId="3C4ADDD4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left="28" w:leftChars="10" w:right="28" w:rightChars="10"/>
              <w:jc w:val="both"/>
              <w:rPr>
                <w:kern w:val="0"/>
              </w:rPr>
            </w:pPr>
            <w:r>
              <w:rPr>
                <w:kern w:val="0"/>
              </w:rPr>
              <w:t>參與制定拆卸工序的安全施工方案，辨別拆卸工序的潛在安全風險,落實安全措施</w:t>
            </w:r>
          </w:p>
        </w:tc>
      </w:tr>
      <w:tr w14:paraId="365A3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</w:trPr>
        <w:tc>
          <w:tcPr>
            <w:tcW w:w="595" w:type="dxa"/>
            <w:vAlign w:val="center"/>
          </w:tcPr>
          <w:p w14:paraId="1ACCF6F4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8505" w:type="dxa"/>
            <w:vAlign w:val="center"/>
          </w:tcPr>
          <w:p w14:paraId="442ABB24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left="28" w:leftChars="10" w:right="28" w:rightChars="10"/>
              <w:jc w:val="both"/>
              <w:rPr>
                <w:kern w:val="0"/>
              </w:rPr>
            </w:pPr>
            <w:r>
              <w:rPr>
                <w:kern w:val="0"/>
              </w:rPr>
              <w:t>審核施工方案，團隊人員配置及現場安全措施是否妥善執行後，定期進行檢討施工方案及風險評估</w:t>
            </w:r>
            <w:r>
              <w:rPr>
                <w:rFonts w:hint="eastAsia"/>
                <w:kern w:val="0"/>
              </w:rPr>
              <w:t>報告</w:t>
            </w:r>
            <w:r>
              <w:rPr>
                <w:kern w:val="0"/>
              </w:rPr>
              <w:t xml:space="preserve"> </w:t>
            </w:r>
          </w:p>
        </w:tc>
      </w:tr>
      <w:tr w14:paraId="36F5B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</w:trPr>
        <w:tc>
          <w:tcPr>
            <w:tcW w:w="595" w:type="dxa"/>
            <w:vAlign w:val="center"/>
          </w:tcPr>
          <w:p w14:paraId="3F3E23E9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jc w:val="center"/>
              <w:rPr>
                <w:rFonts w:eastAsiaTheme="minorEastAsia"/>
                <w:szCs w:val="22"/>
              </w:rPr>
            </w:pPr>
            <w:r>
              <w:rPr>
                <w:rFonts w:hint="eastAsia" w:eastAsiaTheme="minorEastAsia"/>
                <w:szCs w:val="22"/>
              </w:rPr>
              <w:t>5</w:t>
            </w:r>
          </w:p>
        </w:tc>
        <w:tc>
          <w:tcPr>
            <w:tcW w:w="8505" w:type="dxa"/>
            <w:vAlign w:val="center"/>
          </w:tcPr>
          <w:p w14:paraId="4DF479E9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left="28" w:leftChars="10" w:right="28" w:rightChars="10"/>
              <w:jc w:val="both"/>
            </w:pPr>
            <w:r>
              <w:rPr>
                <w:rFonts w:hint="eastAsia"/>
              </w:rPr>
              <w:t>在</w:t>
            </w:r>
            <w:r>
              <w:rPr>
                <w:kern w:val="0"/>
              </w:rPr>
              <w:t>拆卸</w:t>
            </w:r>
            <w:r>
              <w:rPr>
                <w:rFonts w:hint="eastAsia"/>
              </w:rPr>
              <w:t>側向承托(ELS)工作前，徹底考慮臨時結構、支撐之安全性，制定</w:t>
            </w:r>
            <w:r>
              <w:rPr>
                <w:kern w:val="0"/>
              </w:rPr>
              <w:t>拆卸</w:t>
            </w:r>
            <w:r>
              <w:rPr>
                <w:rFonts w:hint="eastAsia"/>
              </w:rPr>
              <w:t>側向承托(ELS)先後次序，並於施工方案內清楚說明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