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T095</w:t>
      </w:r>
    </w:p>
    <w:p>
      <w:r>
        <w:t>推定名称：1 / 負責對專業工程師提交的臨時支架設計圖則、計算及初步施工方案進行核對或提供改善建議，確定有關設計合理可行，並能應用於地盤施工環境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7224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C69AE1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7D48EFD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負責對專業工程師提交的臨時支架設計圖則、計算及初步施工方案進行核對或提供改善建議，確定有關設計合理可行，並能應用於地盤施工環境</w:t>
            </w:r>
          </w:p>
        </w:tc>
      </w:tr>
      <w:tr w14:paraId="7A39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D9C95F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05" w:type="dxa"/>
            <w:vAlign w:val="center"/>
          </w:tcPr>
          <w:p w14:paraId="4B32E2F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檢查建成的臨時支架，以確實它是符合圖紙及規格，並確定該臨時支架是穩固安全地搭建及適宜作預定用途</w:t>
            </w:r>
          </w:p>
        </w:tc>
      </w:tr>
      <w:tr w14:paraId="57D8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851FA4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05" w:type="dxa"/>
            <w:vAlign w:val="center"/>
          </w:tcPr>
          <w:p w14:paraId="4BFA2E8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在工程進行期間發現地盤情況改變，以及有關建造、使用或拆卸臨時支架的工序與方法的問題，須向專業工程師及地盤管理層匯報並協調處理。</w:t>
            </w:r>
          </w:p>
        </w:tc>
      </w:tr>
      <w:tr w14:paraId="56DC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AA6DEE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hint="eastAsia" w:eastAsiaTheme="minorEastAsia"/>
                <w:sz w:val="24"/>
                <w:szCs w:val="24"/>
              </w:rPr>
              <w:t>4</w:t>
            </w:r>
          </w:p>
        </w:tc>
        <w:tc>
          <w:tcPr>
            <w:tcW w:w="8505" w:type="dxa"/>
            <w:vAlign w:val="center"/>
          </w:tcPr>
          <w:p w14:paraId="2EC1AB7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bookmarkStart w:id="279" w:name="_Hlk145584794"/>
            <w:r>
              <w:rPr>
                <w:rFonts w:hint="eastAsia"/>
                <w:sz w:val="24"/>
                <w:szCs w:val="24"/>
              </w:rPr>
              <w:t>在擺放物料於臨時支架前，檢查確定已完成相關安全措施，並簽發《工作台/臨時支架負載許可證》</w:t>
            </w:r>
            <w:bookmarkEnd w:id="279"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