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表格模板 T103</w:t>
      </w:r>
    </w:p>
    <w:p>
      <w:r>
        <w:t>推定名称：現委任閣下由即日起擔任本地盤密閉空間工作地盤授權代表*，負責執行以下事項:</w:t>
      </w:r>
    </w:p>
    <w:p>
      <w:r>
        <w:t>制度上下文：3.加入詳細的密閉空間危險評估表格範本，有關評估報告须於工作完成後保存一年； &gt; 4.在正常大氣壓力下，空氣中氧氣濃度百分比以體積計應不少於百分之十九點五及不多於百分之廿二； &gt; 附件</w:t>
      </w:r>
    </w:p>
    <w:p>
      <w:r>
        <w:t>来源：安全管理辦法彙編20241025（無修訂版）.docx</w:t>
      </w:r>
    </w:p>
    <w:p>
      <w:r>
        <w:t>表格序号：103 / 159</w:t>
      </w:r>
    </w:p>
    <w:sectPr w:rsidR="00FC693F" w:rsidRPr="0006063C" w:rsidSect="00034616">
      <w:pgSz w:w="12240" w:h="15840"/>
      <w:pgMar w:top="1440" w:right="1800" w:bottom="1440" w:left="1800" w:header="720" w:footer="720" w:gutter="0"/>
      <w:cols w:space="720"/>
      <w:docGrid w:linePitch="360"/>
    </w:sectPr>
    <w:tbl>
      <w:tblPr>
        <w:tblStyle w:val="63"/>
        <w:tblW w:w="9102" w:type="dxa"/>
        <w:tblInd w:w="5" w:type="dxa"/>
        <w:tblLayout w:type="autofit"/>
        <w:tblCellMar>
          <w:top w:w="113" w:type="dxa"/>
          <w:left w:w="26" w:type="dxa"/>
          <w:bottom w:w="0" w:type="dxa"/>
          <w:right w:w="57" w:type="dxa"/>
        </w:tblCellMar>
      </w:tblPr>
      <w:tblGrid>
        <w:gridCol w:w="713"/>
        <w:gridCol w:w="8389"/>
      </w:tblGrid>
      <w:tr w14:paraId="62CA0CB5">
        <w:tblPrEx>
          <w:tblCellMar>
            <w:top w:w="113" w:type="dxa"/>
            <w:left w:w="26" w:type="dxa"/>
            <w:bottom w:w="0" w:type="dxa"/>
            <w:right w:w="57" w:type="dxa"/>
          </w:tblCellMar>
        </w:tblPrEx>
        <w:trPr>
          <w:trHeight w:val="466" w:hRule="atLeast"/>
        </w:trPr>
        <w:tc>
          <w:tcPr>
            <w:tcW w:w="595" w:type="dxa"/>
            <w:tcBorders>
              <w:top w:val="single" w:color="000000" w:sz="4" w:space="0"/>
              <w:left w:val="single" w:color="000000" w:sz="4" w:space="0"/>
              <w:bottom w:val="single" w:color="000000" w:sz="4" w:space="0"/>
              <w:right w:val="single" w:color="000000" w:sz="4" w:space="0"/>
            </w:tcBorders>
          </w:tcPr>
          <w:p w14:paraId="6A616FBE">
            <w:pPr>
              <w:spacing w:before="120" w:line="259" w:lineRule="auto"/>
              <w:ind w:left="30" w:firstLine="480"/>
              <w:jc w:val="center"/>
              <w:rPr>
                <w:rFonts w:cstheme="minorBidi"/>
              </w:rPr>
            </w:pPr>
            <w:r>
              <w:rPr>
                <w:rFonts w:ascii="Times New Roman" w:hAnsi="Times New Roman" w:eastAsia="Times New Roman" w:cstheme="minorBidi"/>
                <w:sz w:val="24"/>
              </w:rPr>
              <w:t xml:space="preserve">1 </w:t>
            </w:r>
          </w:p>
        </w:tc>
        <w:tc>
          <w:tcPr>
            <w:tcW w:w="8507" w:type="dxa"/>
            <w:tcBorders>
              <w:top w:val="single" w:color="000000" w:sz="4" w:space="0"/>
              <w:left w:val="single" w:color="000000" w:sz="4" w:space="0"/>
              <w:bottom w:val="single" w:color="000000" w:sz="4" w:space="0"/>
              <w:right w:val="single" w:color="000000" w:sz="4" w:space="0"/>
            </w:tcBorders>
            <w:vAlign w:val="center"/>
          </w:tcPr>
          <w:p w14:paraId="3708AC62">
            <w:pPr>
              <w:spacing w:before="120" w:line="259" w:lineRule="auto"/>
              <w:ind w:left="24" w:firstLine="480"/>
              <w:rPr>
                <w:rFonts w:cstheme="minorBidi"/>
              </w:rPr>
            </w:pPr>
            <w:r>
              <w:rPr>
                <w:rFonts w:cstheme="minorBidi"/>
                <w:sz w:val="24"/>
              </w:rPr>
              <w:t>須參與施工方案及安全施工程序的制定</w:t>
            </w:r>
            <w:r>
              <w:rPr>
                <w:rFonts w:ascii="Times New Roman" w:hAnsi="Times New Roman" w:eastAsia="Times New Roman" w:cstheme="minorBidi"/>
                <w:sz w:val="24"/>
              </w:rPr>
              <w:t xml:space="preserve"> </w:t>
            </w:r>
          </w:p>
        </w:tc>
      </w:tr>
      <w:tr w14:paraId="206D02A1">
        <w:tblPrEx>
          <w:tblCellMar>
            <w:top w:w="113" w:type="dxa"/>
            <w:left w:w="26" w:type="dxa"/>
            <w:bottom w:w="0" w:type="dxa"/>
            <w:right w:w="57" w:type="dxa"/>
          </w:tblCellMar>
        </w:tblPrEx>
        <w:trPr>
          <w:trHeight w:val="775" w:hRule="atLeast"/>
        </w:trPr>
        <w:tc>
          <w:tcPr>
            <w:tcW w:w="595" w:type="dxa"/>
            <w:tcBorders>
              <w:top w:val="single" w:color="000000" w:sz="4" w:space="0"/>
              <w:left w:val="single" w:color="000000" w:sz="4" w:space="0"/>
              <w:bottom w:val="single" w:color="000000" w:sz="4" w:space="0"/>
              <w:right w:val="single" w:color="000000" w:sz="4" w:space="0"/>
            </w:tcBorders>
            <w:vAlign w:val="center"/>
          </w:tcPr>
          <w:p w14:paraId="7C56652D">
            <w:pPr>
              <w:spacing w:before="120" w:line="259" w:lineRule="auto"/>
              <w:ind w:left="30" w:firstLine="480"/>
              <w:jc w:val="center"/>
              <w:rPr>
                <w:rFonts w:cstheme="minorBidi"/>
              </w:rPr>
            </w:pPr>
            <w:r>
              <w:rPr>
                <w:rFonts w:ascii="Times New Roman" w:hAnsi="Times New Roman" w:eastAsia="Times New Roman" w:cstheme="minorBidi"/>
                <w:sz w:val="24"/>
              </w:rPr>
              <w:t xml:space="preserve">2 </w:t>
            </w:r>
          </w:p>
        </w:tc>
        <w:tc>
          <w:tcPr>
            <w:tcW w:w="8507" w:type="dxa"/>
            <w:tcBorders>
              <w:top w:val="single" w:color="000000" w:sz="4" w:space="0"/>
              <w:left w:val="single" w:color="000000" w:sz="4" w:space="0"/>
              <w:bottom w:val="single" w:color="000000" w:sz="4" w:space="0"/>
              <w:right w:val="single" w:color="000000" w:sz="4" w:space="0"/>
            </w:tcBorders>
            <w:vAlign w:val="center"/>
          </w:tcPr>
          <w:p w14:paraId="19745EFE">
            <w:pPr>
              <w:spacing w:before="120" w:line="259" w:lineRule="auto"/>
              <w:ind w:left="24" w:firstLine="480"/>
              <w:rPr>
                <w:rFonts w:cstheme="minorBidi"/>
              </w:rPr>
            </w:pPr>
            <w:r>
              <w:rPr>
                <w:rFonts w:cstheme="minorBidi"/>
                <w:sz w:val="24"/>
              </w:rPr>
              <w:t>負責審批及註銷進入密閉空間「許可工作證」，有關審批及註銷程序必須於密閉空間入口進行，不接受任何形式的預先簽發「許可工作證」</w:t>
            </w:r>
            <w:r>
              <w:rPr>
                <w:rFonts w:ascii="Times New Roman" w:hAnsi="Times New Roman" w:eastAsia="Times New Roman" w:cstheme="minorBidi"/>
                <w:sz w:val="24"/>
              </w:rPr>
              <w:t xml:space="preserve"> </w:t>
            </w:r>
          </w:p>
        </w:tc>
      </w:tr>
      <w:tr w14:paraId="7F23CFAA">
        <w:tblPrEx>
          <w:tblCellMar>
            <w:top w:w="113" w:type="dxa"/>
            <w:left w:w="26" w:type="dxa"/>
            <w:bottom w:w="0" w:type="dxa"/>
            <w:right w:w="57" w:type="dxa"/>
          </w:tblCellMar>
        </w:tblPrEx>
        <w:trPr>
          <w:trHeight w:val="466" w:hRule="atLeast"/>
        </w:trPr>
        <w:tc>
          <w:tcPr>
            <w:tcW w:w="595" w:type="dxa"/>
            <w:tcBorders>
              <w:top w:val="single" w:color="000000" w:sz="4" w:space="0"/>
              <w:left w:val="single" w:color="000000" w:sz="4" w:space="0"/>
              <w:bottom w:val="single" w:color="000000" w:sz="4" w:space="0"/>
              <w:right w:val="single" w:color="000000" w:sz="4" w:space="0"/>
            </w:tcBorders>
          </w:tcPr>
          <w:p w14:paraId="110A917D">
            <w:pPr>
              <w:spacing w:before="120" w:line="259" w:lineRule="auto"/>
              <w:ind w:left="30" w:firstLine="480"/>
              <w:jc w:val="center"/>
              <w:rPr>
                <w:rFonts w:cstheme="minorBidi"/>
              </w:rPr>
            </w:pPr>
            <w:r>
              <w:rPr>
                <w:rFonts w:ascii="Times New Roman" w:hAnsi="Times New Roman" w:eastAsia="Times New Roman" w:cstheme="minorBidi"/>
                <w:sz w:val="24"/>
              </w:rPr>
              <w:t xml:space="preserve">3 </w:t>
            </w:r>
          </w:p>
        </w:tc>
        <w:tc>
          <w:tcPr>
            <w:tcW w:w="8507" w:type="dxa"/>
            <w:tcBorders>
              <w:top w:val="single" w:color="000000" w:sz="4" w:space="0"/>
              <w:left w:val="single" w:color="000000" w:sz="4" w:space="0"/>
              <w:bottom w:val="single" w:color="000000" w:sz="4" w:space="0"/>
              <w:right w:val="single" w:color="000000" w:sz="4" w:space="0"/>
            </w:tcBorders>
            <w:vAlign w:val="center"/>
          </w:tcPr>
          <w:p w14:paraId="5D7C2853">
            <w:pPr>
              <w:spacing w:before="120" w:line="259" w:lineRule="auto"/>
              <w:ind w:left="24" w:firstLine="480"/>
              <w:rPr>
                <w:rFonts w:cstheme="minorBidi"/>
              </w:rPr>
            </w:pPr>
            <w:r>
              <w:rPr>
                <w:rFonts w:cstheme="minorBidi"/>
                <w:sz w:val="24"/>
              </w:rPr>
              <w:t>在所有進入密閉空間工作人員離開密閉空間前，不可離開地盤</w:t>
            </w:r>
            <w:r>
              <w:rPr>
                <w:rFonts w:ascii="Times New Roman" w:hAnsi="Times New Roman" w:eastAsia="Times New Roman" w:cstheme="minorBidi"/>
                <w:sz w:val="24"/>
              </w:rPr>
              <w:t xml:space="preserve"> </w:t>
            </w:r>
          </w:p>
        </w:tc>
      </w:tr>
      <w:tr w14:paraId="640DEF25">
        <w:tblPrEx>
          <w:tblCellMar>
            <w:top w:w="113" w:type="dxa"/>
            <w:left w:w="26" w:type="dxa"/>
            <w:bottom w:w="0" w:type="dxa"/>
            <w:right w:w="57" w:type="dxa"/>
          </w:tblCellMar>
        </w:tblPrEx>
        <w:trPr>
          <w:trHeight w:val="778" w:hRule="atLeast"/>
        </w:trPr>
        <w:tc>
          <w:tcPr>
            <w:tcW w:w="595" w:type="dxa"/>
            <w:tcBorders>
              <w:top w:val="single" w:color="000000" w:sz="4" w:space="0"/>
              <w:left w:val="single" w:color="000000" w:sz="4" w:space="0"/>
              <w:bottom w:val="single" w:color="000000" w:sz="4" w:space="0"/>
              <w:right w:val="single" w:color="000000" w:sz="4" w:space="0"/>
            </w:tcBorders>
            <w:vAlign w:val="center"/>
          </w:tcPr>
          <w:p w14:paraId="1BE2B2F5">
            <w:pPr>
              <w:spacing w:before="120" w:line="259" w:lineRule="auto"/>
              <w:ind w:left="30" w:firstLine="480"/>
              <w:jc w:val="center"/>
              <w:rPr>
                <w:rFonts w:cstheme="minorBidi"/>
              </w:rPr>
            </w:pPr>
            <w:r>
              <w:rPr>
                <w:rFonts w:ascii="Times New Roman" w:hAnsi="Times New Roman" w:eastAsia="Times New Roman" w:cstheme="minorBidi"/>
                <w:sz w:val="24"/>
              </w:rPr>
              <w:t xml:space="preserve">4 </w:t>
            </w:r>
          </w:p>
        </w:tc>
        <w:tc>
          <w:tcPr>
            <w:tcW w:w="8507" w:type="dxa"/>
            <w:tcBorders>
              <w:top w:val="single" w:color="000000" w:sz="4" w:space="0"/>
              <w:left w:val="single" w:color="000000" w:sz="4" w:space="0"/>
              <w:bottom w:val="single" w:color="000000" w:sz="4" w:space="0"/>
              <w:right w:val="single" w:color="000000" w:sz="4" w:space="0"/>
            </w:tcBorders>
            <w:vAlign w:val="center"/>
          </w:tcPr>
          <w:p w14:paraId="62F820C4">
            <w:pPr>
              <w:spacing w:before="120" w:line="259" w:lineRule="auto"/>
              <w:ind w:firstLine="480"/>
              <w:rPr>
                <w:rFonts w:cstheme="minorBidi"/>
              </w:rPr>
            </w:pPr>
            <w:r>
              <w:rPr>
                <w:rFonts w:cstheme="minorBidi"/>
                <w:sz w:val="24"/>
              </w:rPr>
              <w:t>監督工序進行，確保依照施工方案、安全施工程序及安全守則施工，嚴格執行各項安全措施</w:t>
            </w:r>
            <w:r>
              <w:rPr>
                <w:rFonts w:ascii="Times New Roman" w:hAnsi="Times New Roman" w:eastAsia="Times New Roman" w:cstheme="minorBidi"/>
                <w:sz w:val="24"/>
              </w:rPr>
              <w:t xml:space="preserve"> </w:t>
            </w:r>
          </w:p>
        </w:tc>
      </w:tr>
      <w:tr w14:paraId="51047CA1">
        <w:tblPrEx>
          <w:tblCellMar>
            <w:top w:w="113" w:type="dxa"/>
            <w:left w:w="26" w:type="dxa"/>
            <w:bottom w:w="0" w:type="dxa"/>
            <w:right w:w="57" w:type="dxa"/>
          </w:tblCellMar>
        </w:tblPrEx>
        <w:trPr>
          <w:trHeight w:val="466" w:hRule="atLeast"/>
        </w:trPr>
        <w:tc>
          <w:tcPr>
            <w:tcW w:w="595" w:type="dxa"/>
            <w:tcBorders>
              <w:top w:val="single" w:color="000000" w:sz="4" w:space="0"/>
              <w:left w:val="single" w:color="000000" w:sz="4" w:space="0"/>
              <w:bottom w:val="single" w:color="000000" w:sz="4" w:space="0"/>
              <w:right w:val="single" w:color="000000" w:sz="4" w:space="0"/>
            </w:tcBorders>
          </w:tcPr>
          <w:p w14:paraId="059C4685">
            <w:pPr>
              <w:spacing w:before="120" w:line="259" w:lineRule="auto"/>
              <w:ind w:left="30" w:firstLine="480"/>
              <w:jc w:val="center"/>
              <w:rPr>
                <w:rFonts w:cstheme="minorBidi"/>
              </w:rPr>
            </w:pPr>
            <w:r>
              <w:rPr>
                <w:rFonts w:ascii="Times New Roman" w:hAnsi="Times New Roman" w:eastAsia="Times New Roman" w:cstheme="minorBidi"/>
                <w:sz w:val="24"/>
              </w:rPr>
              <w:t xml:space="preserve">5 </w:t>
            </w:r>
          </w:p>
        </w:tc>
        <w:tc>
          <w:tcPr>
            <w:tcW w:w="8507" w:type="dxa"/>
            <w:tcBorders>
              <w:top w:val="single" w:color="000000" w:sz="4" w:space="0"/>
              <w:left w:val="single" w:color="000000" w:sz="4" w:space="0"/>
              <w:bottom w:val="single" w:color="000000" w:sz="4" w:space="0"/>
              <w:right w:val="single" w:color="000000" w:sz="4" w:space="0"/>
            </w:tcBorders>
            <w:vAlign w:val="center"/>
          </w:tcPr>
          <w:p w14:paraId="574A1B41">
            <w:pPr>
              <w:spacing w:before="120" w:line="259" w:lineRule="auto"/>
              <w:ind w:firstLine="480"/>
              <w:rPr>
                <w:rFonts w:cstheme="minorBidi"/>
              </w:rPr>
            </w:pPr>
            <w:r>
              <w:rPr>
                <w:rFonts w:cstheme="minorBidi"/>
                <w:sz w:val="24"/>
              </w:rPr>
              <w:t>確保施工前安全交底、每日開工前安全培訓及專項安全培訓有效完成</w:t>
            </w:r>
            <w:r>
              <w:rPr>
                <w:rFonts w:ascii="Times New Roman" w:hAnsi="Times New Roman" w:eastAsia="Times New Roman" w:cstheme="minorBidi"/>
                <w:sz w:val="24"/>
              </w:rPr>
              <w:t xml:space="preserve"> </w:t>
            </w:r>
          </w:p>
        </w:tc>
      </w:tr>
      <w:tr w14:paraId="0D2697E3">
        <w:tblPrEx>
          <w:tblCellMar>
            <w:top w:w="113" w:type="dxa"/>
            <w:left w:w="26" w:type="dxa"/>
            <w:bottom w:w="0" w:type="dxa"/>
            <w:right w:w="57" w:type="dxa"/>
          </w:tblCellMar>
        </w:tblPrEx>
        <w:trPr>
          <w:trHeight w:val="1088" w:hRule="atLeast"/>
        </w:trPr>
        <w:tc>
          <w:tcPr>
            <w:tcW w:w="595" w:type="dxa"/>
            <w:tcBorders>
              <w:top w:val="single" w:color="000000" w:sz="4" w:space="0"/>
              <w:left w:val="single" w:color="000000" w:sz="4" w:space="0"/>
              <w:bottom w:val="single" w:color="000000" w:sz="4" w:space="0"/>
              <w:right w:val="single" w:color="000000" w:sz="4" w:space="0"/>
            </w:tcBorders>
            <w:vAlign w:val="center"/>
          </w:tcPr>
          <w:p w14:paraId="342E1B88">
            <w:pPr>
              <w:spacing w:before="120" w:line="259" w:lineRule="auto"/>
              <w:ind w:left="30" w:firstLine="480"/>
              <w:jc w:val="center"/>
              <w:rPr>
                <w:rFonts w:cstheme="minorBidi"/>
              </w:rPr>
            </w:pPr>
            <w:r>
              <w:rPr>
                <w:rFonts w:ascii="Times New Roman" w:hAnsi="Times New Roman" w:eastAsia="Times New Roman" w:cstheme="minorBidi"/>
                <w:sz w:val="24"/>
              </w:rPr>
              <w:t xml:space="preserve">6 </w:t>
            </w:r>
          </w:p>
        </w:tc>
        <w:tc>
          <w:tcPr>
            <w:tcW w:w="8507" w:type="dxa"/>
            <w:tcBorders>
              <w:top w:val="single" w:color="000000" w:sz="4" w:space="0"/>
              <w:left w:val="single" w:color="000000" w:sz="4" w:space="0"/>
              <w:bottom w:val="single" w:color="000000" w:sz="4" w:space="0"/>
              <w:right w:val="single" w:color="000000" w:sz="4" w:space="0"/>
            </w:tcBorders>
            <w:vAlign w:val="center"/>
          </w:tcPr>
          <w:p w14:paraId="67E31196">
            <w:pPr>
              <w:spacing w:before="120" w:line="259" w:lineRule="auto"/>
              <w:ind w:firstLine="480"/>
              <w:rPr>
                <w:rFonts w:cstheme="minorBidi"/>
              </w:rPr>
            </w:pPr>
            <w:r>
              <w:rPr>
                <w:rFonts w:cstheme="minorBidi"/>
                <w:sz w:val="24"/>
              </w:rPr>
              <w:t>核實及批核由「指定合資格人士」編制的風險評估報告，確保已列明所有必要的安全預防措施，並簽發進入密閉空間「許可工作證」，否則須確保任何人員不得進入密閉空間</w:t>
            </w:r>
            <w:r>
              <w:rPr>
                <w:rFonts w:ascii="Times New Roman" w:hAnsi="Times New Roman" w:eastAsia="Times New Roman" w:cstheme="minorBidi"/>
                <w:sz w:val="24"/>
              </w:rPr>
              <w:t xml:space="preserve"> </w:t>
            </w:r>
          </w:p>
        </w:tc>
      </w:tr>
      <w:tr w14:paraId="22C1774C">
        <w:tblPrEx>
          <w:tblCellMar>
            <w:top w:w="113" w:type="dxa"/>
            <w:left w:w="26" w:type="dxa"/>
            <w:bottom w:w="0" w:type="dxa"/>
            <w:right w:w="57" w:type="dxa"/>
          </w:tblCellMar>
        </w:tblPrEx>
        <w:trPr>
          <w:trHeight w:val="466" w:hRule="atLeast"/>
        </w:trPr>
        <w:tc>
          <w:tcPr>
            <w:tcW w:w="595" w:type="dxa"/>
            <w:tcBorders>
              <w:top w:val="single" w:color="000000" w:sz="4" w:space="0"/>
              <w:left w:val="single" w:color="000000" w:sz="4" w:space="0"/>
              <w:bottom w:val="single" w:color="000000" w:sz="4" w:space="0"/>
              <w:right w:val="single" w:color="000000" w:sz="4" w:space="0"/>
            </w:tcBorders>
          </w:tcPr>
          <w:p w14:paraId="1C9DA4A0">
            <w:pPr>
              <w:spacing w:before="120" w:line="259" w:lineRule="auto"/>
              <w:ind w:left="30" w:firstLine="480"/>
              <w:jc w:val="center"/>
              <w:rPr>
                <w:rFonts w:cstheme="minorBidi"/>
              </w:rPr>
            </w:pPr>
            <w:r>
              <w:rPr>
                <w:rFonts w:ascii="Times New Roman" w:hAnsi="Times New Roman" w:eastAsia="Times New Roman" w:cstheme="minorBidi"/>
                <w:sz w:val="24"/>
              </w:rPr>
              <w:t xml:space="preserve">7 </w:t>
            </w:r>
          </w:p>
        </w:tc>
        <w:tc>
          <w:tcPr>
            <w:tcW w:w="8507" w:type="dxa"/>
            <w:tcBorders>
              <w:top w:val="single" w:color="000000" w:sz="4" w:space="0"/>
              <w:left w:val="single" w:color="000000" w:sz="4" w:space="0"/>
              <w:bottom w:val="single" w:color="000000" w:sz="4" w:space="0"/>
              <w:right w:val="single" w:color="000000" w:sz="4" w:space="0"/>
            </w:tcBorders>
            <w:vAlign w:val="center"/>
          </w:tcPr>
          <w:p w14:paraId="66C15AB3">
            <w:pPr>
              <w:spacing w:before="120" w:line="259" w:lineRule="auto"/>
              <w:ind w:firstLine="480"/>
              <w:rPr>
                <w:rFonts w:cstheme="minorBidi"/>
              </w:rPr>
            </w:pPr>
            <w:r>
              <w:rPr>
                <w:rFonts w:cstheme="minorBidi"/>
                <w:sz w:val="24"/>
              </w:rPr>
              <w:t>對「指定合資格人士」、「指定核准工友」及「候命人員」的資格進行核實</w:t>
            </w:r>
            <w:r>
              <w:rPr>
                <w:rFonts w:ascii="Times New Roman" w:hAnsi="Times New Roman" w:eastAsia="Times New Roman" w:cstheme="minorBidi"/>
                <w:sz w:val="24"/>
              </w:rPr>
              <w:t xml:space="preserve"> </w:t>
            </w:r>
          </w:p>
        </w:tc>
      </w:tr>
      <w:tr w14:paraId="6239A81C">
        <w:tblPrEx>
          <w:tblCellMar>
            <w:top w:w="113" w:type="dxa"/>
            <w:left w:w="26" w:type="dxa"/>
            <w:bottom w:w="0" w:type="dxa"/>
            <w:right w:w="57" w:type="dxa"/>
          </w:tblCellMar>
        </w:tblPrEx>
        <w:trPr>
          <w:trHeight w:val="775" w:hRule="atLeast"/>
        </w:trPr>
        <w:tc>
          <w:tcPr>
            <w:tcW w:w="595" w:type="dxa"/>
            <w:tcBorders>
              <w:top w:val="single" w:color="000000" w:sz="4" w:space="0"/>
              <w:left w:val="single" w:color="000000" w:sz="4" w:space="0"/>
              <w:bottom w:val="single" w:color="000000" w:sz="4" w:space="0"/>
              <w:right w:val="single" w:color="000000" w:sz="4" w:space="0"/>
            </w:tcBorders>
            <w:vAlign w:val="center"/>
          </w:tcPr>
          <w:p w14:paraId="730A5228">
            <w:pPr>
              <w:spacing w:before="120" w:line="259" w:lineRule="auto"/>
              <w:ind w:left="30" w:firstLine="480"/>
              <w:jc w:val="center"/>
              <w:rPr>
                <w:rFonts w:cstheme="minorBidi"/>
              </w:rPr>
            </w:pPr>
            <w:r>
              <w:rPr>
                <w:rFonts w:ascii="Times New Roman" w:hAnsi="Times New Roman" w:eastAsia="Times New Roman" w:cstheme="minorBidi"/>
                <w:sz w:val="24"/>
              </w:rPr>
              <w:t xml:space="preserve">8 </w:t>
            </w:r>
          </w:p>
        </w:tc>
        <w:tc>
          <w:tcPr>
            <w:tcW w:w="8507" w:type="dxa"/>
            <w:tcBorders>
              <w:top w:val="single" w:color="000000" w:sz="4" w:space="0"/>
              <w:left w:val="single" w:color="000000" w:sz="4" w:space="0"/>
              <w:bottom w:val="single" w:color="000000" w:sz="4" w:space="0"/>
              <w:right w:val="single" w:color="000000" w:sz="4" w:space="0"/>
            </w:tcBorders>
            <w:vAlign w:val="center"/>
          </w:tcPr>
          <w:p w14:paraId="6DFEC788">
            <w:pPr>
              <w:spacing w:before="120" w:line="259" w:lineRule="auto"/>
              <w:ind w:firstLine="480"/>
              <w:rPr>
                <w:rFonts w:cstheme="minorBidi"/>
              </w:rPr>
            </w:pPr>
            <w:r>
              <w:rPr>
                <w:rFonts w:cstheme="minorBidi"/>
                <w:sz w:val="24"/>
              </w:rPr>
              <w:t>決定在惡劣天氣警告信號發出時、生效期間或取消後，是否繼續、暫停或恢復進行密閉空間工作</w:t>
            </w:r>
            <w:r>
              <w:rPr>
                <w:rFonts w:ascii="Times New Roman" w:hAnsi="Times New Roman" w:eastAsia="Times New Roman" w:cstheme="minorBidi"/>
                <w:sz w:val="24"/>
              </w:rPr>
              <w:t xml:space="preserve"> </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