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T114</w:t>
      </w:r>
    </w:p>
    <w:p>
      <w:r>
        <w:t>推定名称：月均合約金額：________________ 申請獎金：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表格序号：114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828"/>
        <w:gridCol w:w="1554"/>
      </w:tblGrid>
      <w:tr w14:paraId="6728F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68339684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序號</w:t>
            </w:r>
          </w:p>
        </w:tc>
        <w:tc>
          <w:tcPr>
            <w:tcW w:w="6828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1E222A96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地盤申報獎項有關內容</w:t>
            </w:r>
          </w:p>
        </w:tc>
        <w:tc>
          <w:tcPr>
            <w:tcW w:w="1554" w:type="dxa"/>
            <w:tcBorders>
              <w:bottom w:val="double" w:color="auto" w:sz="4" w:space="0"/>
            </w:tcBorders>
            <w:vAlign w:val="center"/>
          </w:tcPr>
          <w:p w14:paraId="1FC86DCC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  <w:lang w:eastAsia="zh-CN"/>
              </w:rPr>
            </w:pPr>
            <w:r>
              <w:rPr>
                <w:rFonts w:hint="eastAsia" w:eastAsia="FangSong"/>
                <w:sz w:val="24"/>
                <w:szCs w:val="24"/>
                <w:lang w:eastAsia="zh-CN"/>
              </w:rPr>
              <w:t>符合要求</w:t>
            </w:r>
            <w:r>
              <w:rPr>
                <w:rFonts w:eastAsia="FangSong"/>
                <w:sz w:val="24"/>
                <w:szCs w:val="24"/>
                <w:lang w:eastAsia="zh-CN"/>
              </w:rPr>
              <w:t>(</w:t>
            </w:r>
            <w:r>
              <w:rPr>
                <w:rFonts w:eastAsia="FangSong"/>
                <w:sz w:val="24"/>
                <w:szCs w:val="24"/>
                <w:lang w:eastAsia="zh-CN"/>
              </w:rPr>
              <w:sym w:font="Wingdings" w:char="F0FC"/>
            </w:r>
            <w:r>
              <w:rPr>
                <w:rFonts w:eastAsia="FangSong"/>
                <w:sz w:val="24"/>
                <w:szCs w:val="24"/>
                <w:lang w:eastAsia="zh-CN"/>
              </w:rPr>
              <w:t>)</w:t>
            </w:r>
          </w:p>
        </w:tc>
      </w:tr>
      <w:tr w14:paraId="5B20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tcBorders>
              <w:top w:val="double" w:color="auto" w:sz="4" w:space="0"/>
            </w:tcBorders>
            <w:shd w:val="clear" w:color="auto" w:fill="auto"/>
          </w:tcPr>
          <w:p w14:paraId="28EC8FC4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1.</w:t>
            </w:r>
          </w:p>
        </w:tc>
        <w:tc>
          <w:tcPr>
            <w:tcW w:w="6828" w:type="dxa"/>
            <w:tcBorders>
              <w:top w:val="double" w:color="auto" w:sz="4" w:space="0"/>
            </w:tcBorders>
            <w:shd w:val="clear" w:color="auto" w:fill="auto"/>
          </w:tcPr>
          <w:p w14:paraId="16541591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按事發日期統計，季度無發生嚴重工傷意外事故</w:t>
            </w:r>
          </w:p>
        </w:tc>
        <w:tc>
          <w:tcPr>
            <w:tcW w:w="1554" w:type="dxa"/>
            <w:tcBorders>
              <w:top w:val="double" w:color="auto" w:sz="4" w:space="0"/>
            </w:tcBorders>
          </w:tcPr>
          <w:p w14:paraId="32CC1A78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273C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7BDDB2FB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2.</w:t>
            </w:r>
          </w:p>
        </w:tc>
        <w:tc>
          <w:tcPr>
            <w:tcW w:w="6828" w:type="dxa"/>
            <w:shd w:val="clear" w:color="auto" w:fill="auto"/>
          </w:tcPr>
          <w:p w14:paraId="03284DFC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DengXian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按事發日期統計，季度工傷意外率低於季度千人意外率分解指標的</w:t>
            </w:r>
            <w:r>
              <w:rPr>
                <w:rFonts w:eastAsia="FangSong"/>
                <w:sz w:val="24"/>
                <w:szCs w:val="24"/>
              </w:rPr>
              <w:t>60%</w:t>
            </w:r>
            <w:r>
              <w:rPr>
                <w:rFonts w:hint="eastAsia" w:eastAsia="FangSong"/>
                <w:sz w:val="24"/>
                <w:szCs w:val="24"/>
              </w:rPr>
              <w:t>，季度工傷意外率：</w:t>
            </w:r>
            <w:r>
              <w:rPr>
                <w:rFonts w:eastAsia="FangSong"/>
                <w:sz w:val="24"/>
                <w:szCs w:val="24"/>
                <w:u w:val="single"/>
              </w:rPr>
              <w:t xml:space="preserve">          </w:t>
            </w:r>
          </w:p>
        </w:tc>
        <w:tc>
          <w:tcPr>
            <w:tcW w:w="1554" w:type="dxa"/>
          </w:tcPr>
          <w:p w14:paraId="3C446755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3B3DE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68D70B45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3.</w:t>
            </w:r>
          </w:p>
        </w:tc>
        <w:tc>
          <w:tcPr>
            <w:tcW w:w="6828" w:type="dxa"/>
            <w:shd w:val="clear" w:color="auto" w:fill="auto"/>
          </w:tcPr>
          <w:p w14:paraId="1CD83C7F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無被勞工處發出《暫時停工通知書》或《建築地盤視察報告表》的第一部份</w:t>
            </w:r>
          </w:p>
        </w:tc>
        <w:tc>
          <w:tcPr>
            <w:tcW w:w="1554" w:type="dxa"/>
          </w:tcPr>
          <w:p w14:paraId="2E95933A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2D02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52200D32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4.</w:t>
            </w:r>
          </w:p>
        </w:tc>
        <w:tc>
          <w:tcPr>
            <w:tcW w:w="6828" w:type="dxa"/>
            <w:shd w:val="clear" w:color="auto" w:fill="auto"/>
          </w:tcPr>
          <w:p w14:paraId="32A71919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無收到法庭發出安全違例檢控傳票，如有關違例事項公司已收到勞工處發出《建築地盤視察報告表》的第一部份，則不計在內</w:t>
            </w:r>
          </w:p>
        </w:tc>
        <w:tc>
          <w:tcPr>
            <w:tcW w:w="1554" w:type="dxa"/>
          </w:tcPr>
          <w:p w14:paraId="4F7A9711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6A3A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4CBE2E85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5.</w:t>
            </w:r>
          </w:p>
        </w:tc>
        <w:tc>
          <w:tcPr>
            <w:tcW w:w="6828" w:type="dxa"/>
            <w:shd w:val="clear" w:color="auto" w:fill="auto"/>
          </w:tcPr>
          <w:p w14:paraId="370B735E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新細明體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無收到安全環保部發出《地盤停工命令》或黃牌警告</w:t>
            </w:r>
            <w:r>
              <w:rPr>
                <w:rFonts w:eastAsia="FangSong"/>
                <w:sz w:val="24"/>
                <w:szCs w:val="24"/>
              </w:rPr>
              <w:t>(</w:t>
            </w:r>
            <w:r>
              <w:rPr>
                <w:rFonts w:hint="eastAsia" w:eastAsia="FangSong"/>
                <w:sz w:val="24"/>
                <w:szCs w:val="24"/>
              </w:rPr>
              <w:t>按事發日期計</w:t>
            </w:r>
            <w:r>
              <w:rPr>
                <w:rFonts w:eastAsia="FangSong"/>
                <w:sz w:val="24"/>
                <w:szCs w:val="24"/>
              </w:rPr>
              <w:t>)</w:t>
            </w:r>
          </w:p>
        </w:tc>
        <w:tc>
          <w:tcPr>
            <w:tcW w:w="1554" w:type="dxa"/>
          </w:tcPr>
          <w:p w14:paraId="4D55A8D3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118E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6400D52E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6.</w:t>
            </w:r>
          </w:p>
        </w:tc>
        <w:tc>
          <w:tcPr>
            <w:tcW w:w="6828" w:type="dxa"/>
            <w:shd w:val="clear" w:color="auto" w:fill="auto"/>
          </w:tcPr>
          <w:p w14:paraId="0EFF4039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新細明體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無收到業主對安全項目發出的警告信、壞報告</w:t>
            </w:r>
          </w:p>
        </w:tc>
        <w:tc>
          <w:tcPr>
            <w:tcW w:w="1554" w:type="dxa"/>
          </w:tcPr>
          <w:p w14:paraId="714F7D81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4F44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2CFE99D6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7.</w:t>
            </w:r>
          </w:p>
        </w:tc>
        <w:tc>
          <w:tcPr>
            <w:tcW w:w="6828" w:type="dxa"/>
            <w:shd w:val="clear" w:color="auto" w:fill="auto"/>
          </w:tcPr>
          <w:p w14:paraId="3E607890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無發生較大事故、嚴重事故</w:t>
            </w:r>
            <w:r>
              <w:rPr>
                <w:rFonts w:eastAsia="FangSong"/>
                <w:sz w:val="24"/>
                <w:szCs w:val="24"/>
              </w:rPr>
              <w:t>(</w:t>
            </w:r>
            <w:r>
              <w:rPr>
                <w:rFonts w:hint="eastAsia" w:eastAsia="FangSong"/>
                <w:sz w:val="24"/>
                <w:szCs w:val="24"/>
              </w:rPr>
              <w:t>參閱《地盤安全事故通報程序》</w:t>
            </w:r>
            <w:r>
              <w:rPr>
                <w:rFonts w:eastAsia="FangSong"/>
                <w:sz w:val="24"/>
                <w:szCs w:val="24"/>
              </w:rPr>
              <w:t>)</w:t>
            </w:r>
            <w:r>
              <w:rPr>
                <w:rFonts w:hint="eastAsia" w:eastAsia="FangSong"/>
                <w:sz w:val="24"/>
                <w:szCs w:val="24"/>
              </w:rPr>
              <w:t>及機械、吊運、高空墮物、高空工作、棚架倒塌或翻側、損毀地下公共設施等近危或危險事故</w:t>
            </w:r>
          </w:p>
        </w:tc>
        <w:tc>
          <w:tcPr>
            <w:tcW w:w="1554" w:type="dxa"/>
          </w:tcPr>
          <w:p w14:paraId="15FE13A4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  <w:tr w14:paraId="560B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" w:type="dxa"/>
            <w:shd w:val="clear" w:color="auto" w:fill="auto"/>
          </w:tcPr>
          <w:p w14:paraId="086DA0D1">
            <w:pPr>
              <w:pStyle w:val="26"/>
              <w:spacing w:before="24" w:beforeLines="10" w:after="24" w:afterLines="10" w:line="240" w:lineRule="auto"/>
              <w:ind w:firstLine="480"/>
              <w:jc w:val="center"/>
              <w:rPr>
                <w:rFonts w:eastAsia="FangSong"/>
                <w:sz w:val="24"/>
                <w:szCs w:val="24"/>
              </w:rPr>
            </w:pPr>
            <w:r>
              <w:rPr>
                <w:rFonts w:eastAsia="FangSong"/>
                <w:sz w:val="24"/>
                <w:szCs w:val="24"/>
              </w:rPr>
              <w:t>8.</w:t>
            </w:r>
          </w:p>
        </w:tc>
        <w:tc>
          <w:tcPr>
            <w:tcW w:w="6828" w:type="dxa"/>
            <w:shd w:val="clear" w:color="auto" w:fill="auto"/>
          </w:tcPr>
          <w:p w14:paraId="70BF36DB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  <w:u w:val="single"/>
              </w:rPr>
            </w:pPr>
            <w:r>
              <w:rPr>
                <w:rFonts w:hint="eastAsia" w:eastAsia="FangSong"/>
                <w:sz w:val="24"/>
                <w:szCs w:val="24"/>
              </w:rPr>
              <w:t>“工友入閘系統”錄入的季度累計開工人數：</w:t>
            </w:r>
            <w:r>
              <w:rPr>
                <w:rFonts w:eastAsia="FangSong"/>
                <w:sz w:val="24"/>
                <w:szCs w:val="24"/>
                <w:u w:val="single"/>
              </w:rPr>
              <w:t xml:space="preserve">          </w:t>
            </w:r>
          </w:p>
          <w:p w14:paraId="72A873F4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新細明體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地盤季度平均開工人數：</w:t>
            </w:r>
            <w:r>
              <w:rPr>
                <w:rFonts w:eastAsia="FangSong"/>
                <w:sz w:val="24"/>
                <w:szCs w:val="24"/>
                <w:u w:val="single"/>
              </w:rPr>
              <w:t xml:space="preserve">          </w:t>
            </w:r>
          </w:p>
          <w:p w14:paraId="43755658">
            <w:pPr>
              <w:pStyle w:val="26"/>
              <w:spacing w:beforeLines="5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地盤季度平均開工人數計算方法：</w:t>
            </w:r>
          </w:p>
          <w:tbl>
            <w:tblPr>
              <w:tblStyle w:val="17"/>
              <w:tblW w:w="0" w:type="auto"/>
              <w:tblInd w:w="19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43"/>
              <w:gridCol w:w="1160"/>
            </w:tblGrid>
            <w:tr w14:paraId="0770D8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43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77E4DCE">
                  <w:pPr>
                    <w:pStyle w:val="26"/>
                    <w:spacing w:before="24" w:beforeLines="10" w:after="24" w:afterLines="10" w:line="240" w:lineRule="auto"/>
                    <w:ind w:firstLine="480"/>
                    <w:jc w:val="center"/>
                    <w:rPr>
                      <w:rFonts w:eastAsia="新細明體"/>
                      <w:sz w:val="24"/>
                      <w:szCs w:val="24"/>
                    </w:rPr>
                  </w:pPr>
                  <w:r>
                    <w:rPr>
                      <w:rFonts w:hint="eastAsia" w:eastAsia="FangSong"/>
                      <w:sz w:val="24"/>
                      <w:szCs w:val="24"/>
                    </w:rPr>
                    <w:t>“工友入閘系統”錄入的季度累計開工人數</w:t>
                  </w:r>
                </w:p>
              </w:tc>
              <w:tc>
                <w:tcPr>
                  <w:tcW w:w="11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37B9787">
                  <w:pPr>
                    <w:pStyle w:val="26"/>
                    <w:spacing w:before="24" w:beforeLines="10" w:after="24" w:afterLines="10" w:line="240" w:lineRule="auto"/>
                    <w:ind w:firstLine="480"/>
                    <w:rPr>
                      <w:rFonts w:eastAsia="新細明體"/>
                      <w:sz w:val="24"/>
                      <w:szCs w:val="24"/>
                    </w:rPr>
                  </w:pPr>
                </w:p>
              </w:tc>
            </w:tr>
            <w:tr w14:paraId="07A75C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43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F346ADE">
                  <w:pPr>
                    <w:pStyle w:val="26"/>
                    <w:spacing w:before="24" w:beforeLines="10" w:after="24" w:afterLines="10" w:line="240" w:lineRule="auto"/>
                    <w:ind w:firstLine="480"/>
                    <w:jc w:val="center"/>
                    <w:rPr>
                      <w:rFonts w:eastAsia="新細明體"/>
                      <w:sz w:val="24"/>
                      <w:szCs w:val="24"/>
                    </w:rPr>
                  </w:pPr>
                  <w:r>
                    <w:rPr>
                      <w:rFonts w:eastAsia="FangSong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160" w:type="dxa"/>
                  <w:vMerge w:val="continue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8F48536">
                  <w:pPr>
                    <w:pStyle w:val="26"/>
                    <w:spacing w:before="24" w:beforeLines="10" w:after="24" w:afterLines="10" w:line="240" w:lineRule="auto"/>
                    <w:ind w:firstLine="480"/>
                    <w:rPr>
                      <w:rFonts w:eastAsia="新細明體"/>
                      <w:sz w:val="24"/>
                      <w:szCs w:val="24"/>
                    </w:rPr>
                  </w:pPr>
                </w:p>
              </w:tc>
            </w:tr>
          </w:tbl>
          <w:p w14:paraId="3A8747D1">
            <w:pPr>
              <w:pStyle w:val="26"/>
              <w:spacing w:beforeLines="50" w:after="24" w:afterLines="10" w:line="240" w:lineRule="auto"/>
              <w:ind w:firstLine="480"/>
              <w:rPr>
                <w:rFonts w:eastAsia="新細明體"/>
                <w:sz w:val="24"/>
                <w:szCs w:val="24"/>
              </w:rPr>
            </w:pPr>
            <w:r>
              <w:rPr>
                <w:rFonts w:hint="eastAsia" w:eastAsia="FangSong"/>
                <w:sz w:val="24"/>
                <w:szCs w:val="24"/>
              </w:rPr>
              <w:t>請於附件內提供“工友入閘系統”錄入的季度累計開工人數</w:t>
            </w:r>
            <w:r>
              <w:rPr>
                <w:rFonts w:eastAsia="FangSong"/>
                <w:sz w:val="24"/>
                <w:szCs w:val="24"/>
              </w:rPr>
              <w:t>(</w:t>
            </w:r>
            <w:r>
              <w:rPr>
                <w:rFonts w:hint="eastAsia" w:eastAsia="FangSong"/>
                <w:sz w:val="24"/>
                <w:szCs w:val="24"/>
              </w:rPr>
              <w:t>不包括業主直屬分判商工友</w:t>
            </w:r>
            <w:r>
              <w:rPr>
                <w:rFonts w:eastAsia="FangSong"/>
                <w:sz w:val="24"/>
                <w:szCs w:val="24"/>
              </w:rPr>
              <w:t>)</w:t>
            </w:r>
            <w:r>
              <w:rPr>
                <w:rFonts w:hint="eastAsia" w:eastAsia="FangSong"/>
                <w:sz w:val="24"/>
                <w:szCs w:val="24"/>
              </w:rPr>
              <w:t>記錄文件</w:t>
            </w:r>
          </w:p>
        </w:tc>
        <w:tc>
          <w:tcPr>
            <w:tcW w:w="1554" w:type="dxa"/>
          </w:tcPr>
          <w:p w14:paraId="72DAFC3B">
            <w:pPr>
              <w:pStyle w:val="26"/>
              <w:spacing w:before="24" w:beforeLines="10" w:after="24" w:afterLines="10" w:line="240" w:lineRule="auto"/>
              <w:ind w:firstLine="480"/>
              <w:rPr>
                <w:rFonts w:eastAsia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