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T145</w:t>
      </w:r>
    </w:p>
    <w:p>
      <w:r>
        <w:t>推定名称：打樁工程、基礎工程、鑽孔工程、水井工程、泥釘、排水斜管、岩層螺栓/銷釘或其他岩土裝置 / 距離鐵路地下構築物≥3米範圍</w:t>
      </w:r>
    </w:p>
    <w:p>
      <w:r>
        <w:t>制度上下文：四、進場前安全注意事項 &gt; 五、施工前安全注意事項 &gt; 安全文件及計劃</w:t>
      </w:r>
    </w:p>
    <w:p>
      <w:r>
        <w:t>来源：安全管理辦法彙編20241025（無修訂版）.docx</w:t>
      </w:r>
    </w:p>
    <w:p>
      <w:r>
        <w:t>表格序号：145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4076"/>
      </w:tblGrid>
      <w:tr w14:paraId="2F06D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shd w:val="clear" w:color="auto" w:fill="auto"/>
            <w:vAlign w:val="center"/>
          </w:tcPr>
          <w:p w14:paraId="4272A44B">
            <w:pPr>
              <w:pStyle w:val="29"/>
            </w:pPr>
            <w:r>
              <w:rPr>
                <w:rFonts w:hint="eastAsia"/>
              </w:rPr>
              <w:t>打樁工程、基礎工程、鑽孔工程、水井工程、泥釘、排水斜管、岩層螺栓</w:t>
            </w:r>
            <w:r>
              <w:t>/</w:t>
            </w:r>
            <w:r>
              <w:rPr>
                <w:rFonts w:hint="eastAsia"/>
              </w:rPr>
              <w:t>銷釘或其他岩土裝置</w:t>
            </w:r>
          </w:p>
        </w:tc>
        <w:tc>
          <w:tcPr>
            <w:tcW w:w="4076" w:type="dxa"/>
            <w:shd w:val="clear" w:color="auto" w:fill="auto"/>
          </w:tcPr>
          <w:p w14:paraId="43159BCD">
            <w:pPr>
              <w:pStyle w:val="29"/>
            </w:pPr>
            <w:r>
              <w:rPr>
                <w:rFonts w:hint="eastAsia"/>
              </w:rPr>
              <w:t>距離鐵路地下構築物≥3米範圍</w:t>
            </w:r>
          </w:p>
        </w:tc>
      </w:tr>
      <w:tr w14:paraId="526F3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shd w:val="clear" w:color="auto" w:fill="auto"/>
            <w:vAlign w:val="center"/>
          </w:tcPr>
          <w:p w14:paraId="3474BD74">
            <w:pPr>
              <w:pStyle w:val="29"/>
            </w:pPr>
            <w:r>
              <w:rPr>
                <w:rFonts w:hint="eastAsia"/>
              </w:rPr>
              <w:t>在鐵路的地面構築物附近的打樁工程</w:t>
            </w:r>
          </w:p>
        </w:tc>
        <w:tc>
          <w:tcPr>
            <w:tcW w:w="4076" w:type="dxa"/>
            <w:shd w:val="clear" w:color="auto" w:fill="auto"/>
          </w:tcPr>
          <w:p w14:paraId="7D94D9A9">
            <w:pPr>
              <w:pStyle w:val="29"/>
            </w:pPr>
            <w:r>
              <w:rPr>
                <w:rFonts w:hint="eastAsia"/>
              </w:rPr>
              <w:t>距離鐵路圍欄</w:t>
            </w:r>
            <w:r>
              <w:t>/</w:t>
            </w:r>
            <w:r>
              <w:rPr>
                <w:rFonts w:hint="eastAsia"/>
              </w:rPr>
              <w:t>圍牆平面≥3米，如沒有鐵路圍欄∕圍牆，則從最接近路軌的中線起計平面距離≥7米</w:t>
            </w:r>
          </w:p>
        </w:tc>
      </w:tr>
      <w:tr w14:paraId="394B9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shd w:val="clear" w:color="auto" w:fill="auto"/>
            <w:vAlign w:val="center"/>
          </w:tcPr>
          <w:p w14:paraId="0F862F89">
            <w:pPr>
              <w:pStyle w:val="29"/>
            </w:pPr>
            <w:r>
              <w:rPr>
                <w:rFonts w:hint="eastAsia"/>
              </w:rPr>
              <w:t>錨</w:t>
            </w:r>
          </w:p>
        </w:tc>
        <w:tc>
          <w:tcPr>
            <w:tcW w:w="4076" w:type="dxa"/>
            <w:shd w:val="clear" w:color="auto" w:fill="auto"/>
          </w:tcPr>
          <w:p w14:paraId="29DA5DC2">
            <w:pPr>
              <w:pStyle w:val="29"/>
            </w:pPr>
            <w:r>
              <w:rPr>
                <w:rFonts w:hint="eastAsia"/>
              </w:rPr>
              <w:t>距離鐵路構築物</w:t>
            </w:r>
            <w:r>
              <w:t>/</w:t>
            </w:r>
            <w:r>
              <w:rPr>
                <w:rFonts w:hint="eastAsia"/>
              </w:rPr>
              <w:t>裝置的任何部份</w:t>
            </w:r>
            <w:r>
              <w:t>&gt;3</w:t>
            </w:r>
            <w:r>
              <w:rPr>
                <w:rFonts w:hint="eastAsia"/>
              </w:rPr>
              <w:t>米，而錨杆固定長度的中心點與任何鐵路構築物</w:t>
            </w:r>
            <w:r>
              <w:t>/</w:t>
            </w:r>
            <w:r>
              <w:rPr>
                <w:rFonts w:hint="eastAsia"/>
              </w:rPr>
              <w:t>裝置的距離，須超過固定長度的兩倍</w:t>
            </w:r>
          </w:p>
        </w:tc>
      </w:tr>
      <w:tr w14:paraId="4C77A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shd w:val="clear" w:color="auto" w:fill="auto"/>
            <w:vAlign w:val="center"/>
          </w:tcPr>
          <w:p w14:paraId="24F11EB5">
            <w:pPr>
              <w:pStyle w:val="29"/>
            </w:pPr>
            <w:r>
              <w:rPr>
                <w:rFonts w:hint="eastAsia"/>
              </w:rPr>
              <w:t>棚架、工作台、廣告招牌或任何伸出物</w:t>
            </w:r>
          </w:p>
        </w:tc>
        <w:tc>
          <w:tcPr>
            <w:tcW w:w="4076" w:type="dxa"/>
            <w:shd w:val="clear" w:color="auto" w:fill="auto"/>
          </w:tcPr>
          <w:p w14:paraId="5133D4CD">
            <w:pPr>
              <w:pStyle w:val="29"/>
            </w:pPr>
            <w:r>
              <w:rPr>
                <w:rFonts w:hint="eastAsia"/>
              </w:rPr>
              <w:t>豎設高於鐵路路軌水平時，距離鐵路路軌平面≥</w:t>
            </w:r>
            <w:r>
              <w:t xml:space="preserve"> 6</w:t>
            </w:r>
            <w:r>
              <w:rPr>
                <w:rFonts w:hint="eastAsia"/>
              </w:rPr>
              <w:t>米</w:t>
            </w:r>
          </w:p>
        </w:tc>
      </w:tr>
      <w:tr w14:paraId="0F2AD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shd w:val="clear" w:color="auto" w:fill="auto"/>
            <w:vAlign w:val="center"/>
          </w:tcPr>
          <w:p w14:paraId="266EC2F7">
            <w:pPr>
              <w:pStyle w:val="29"/>
            </w:pPr>
            <w:r>
              <w:rPr>
                <w:rFonts w:hint="eastAsia"/>
              </w:rPr>
              <w:t>操作起重器</w:t>
            </w:r>
          </w:p>
        </w:tc>
        <w:tc>
          <w:tcPr>
            <w:tcW w:w="4076" w:type="dxa"/>
            <w:shd w:val="clear" w:color="auto" w:fill="auto"/>
          </w:tcPr>
          <w:p w14:paraId="023A3C60">
            <w:pPr>
              <w:pStyle w:val="29"/>
            </w:pPr>
            <w:r>
              <w:rPr>
                <w:rFonts w:hint="eastAsia"/>
              </w:rPr>
              <w:t>起重器吊臂擺動的圓弧範圍距離鐵路路軌及其地面構築物</w:t>
            </w:r>
            <w:r>
              <w:t>/</w:t>
            </w:r>
            <w:r>
              <w:rPr>
                <w:rFonts w:hint="eastAsia"/>
              </w:rPr>
              <w:t>裝置平面≥6米</w:t>
            </w:r>
          </w:p>
        </w:tc>
      </w:tr>
      <w:tr w14:paraId="73D2A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shd w:val="clear" w:color="auto" w:fill="auto"/>
            <w:vAlign w:val="center"/>
          </w:tcPr>
          <w:p w14:paraId="7A5FF232">
            <w:pPr>
              <w:pStyle w:val="29"/>
            </w:pPr>
            <w:r>
              <w:rPr>
                <w:rFonts w:hint="eastAsia"/>
              </w:rPr>
              <w:t>貯存物料、設置貨櫃或小屋</w:t>
            </w:r>
          </w:p>
        </w:tc>
        <w:tc>
          <w:tcPr>
            <w:tcW w:w="4076" w:type="dxa"/>
            <w:shd w:val="clear" w:color="auto" w:fill="auto"/>
          </w:tcPr>
          <w:p w14:paraId="4DDB5EDA">
            <w:pPr>
              <w:pStyle w:val="29"/>
            </w:pPr>
            <w:r>
              <w:rPr>
                <w:rFonts w:hint="eastAsia"/>
              </w:rPr>
              <w:t>距離鐵路構築物</w:t>
            </w:r>
            <w:r>
              <w:t>/</w:t>
            </w:r>
            <w:r>
              <w:rPr>
                <w:rFonts w:hint="eastAsia"/>
              </w:rPr>
              <w:t>路軌及通風塔出口處平面≥6米</w:t>
            </w:r>
          </w:p>
        </w:tc>
      </w:tr>
      <w:tr w14:paraId="386D3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shd w:val="clear" w:color="auto" w:fill="auto"/>
            <w:vAlign w:val="center"/>
          </w:tcPr>
          <w:p w14:paraId="725A5C90">
            <w:pPr>
              <w:pStyle w:val="29"/>
            </w:pPr>
            <w:r>
              <w:rPr>
                <w:rFonts w:hint="eastAsia"/>
              </w:rPr>
              <w:t>貯存危險品或其他易燃物料</w:t>
            </w:r>
          </w:p>
        </w:tc>
        <w:tc>
          <w:tcPr>
            <w:tcW w:w="4076" w:type="dxa"/>
            <w:shd w:val="clear" w:color="auto" w:fill="auto"/>
          </w:tcPr>
          <w:p w14:paraId="0F9DEBD6">
            <w:pPr>
              <w:pStyle w:val="29"/>
            </w:pPr>
            <w:r>
              <w:rPr>
                <w:rFonts w:hint="eastAsia"/>
              </w:rPr>
              <w:t>距離鐵路構築物</w:t>
            </w:r>
            <w:r>
              <w:t>/</w:t>
            </w:r>
            <w:r>
              <w:rPr>
                <w:rFonts w:hint="eastAsia"/>
              </w:rPr>
              <w:t>路軌平面≥6米</w:t>
            </w:r>
          </w:p>
        </w:tc>
      </w:tr>
      <w:tr w14:paraId="02EB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9" w:type="dxa"/>
            <w:shd w:val="clear" w:color="auto" w:fill="auto"/>
            <w:vAlign w:val="center"/>
          </w:tcPr>
          <w:p w14:paraId="51D91E90">
            <w:pPr>
              <w:pStyle w:val="29"/>
            </w:pPr>
            <w:r>
              <w:rPr>
                <w:rFonts w:hint="eastAsia"/>
              </w:rPr>
              <w:t>建築門窗</w:t>
            </w:r>
            <w:r>
              <w:t>/</w:t>
            </w:r>
            <w:r>
              <w:rPr>
                <w:rFonts w:hint="eastAsia"/>
              </w:rPr>
              <w:t>通風口</w:t>
            </w:r>
          </w:p>
        </w:tc>
        <w:tc>
          <w:tcPr>
            <w:tcW w:w="4076" w:type="dxa"/>
            <w:shd w:val="clear" w:color="auto" w:fill="auto"/>
          </w:tcPr>
          <w:p w14:paraId="1176501C">
            <w:pPr>
              <w:pStyle w:val="29"/>
            </w:pPr>
            <w:r>
              <w:rPr>
                <w:rFonts w:hint="eastAsia"/>
              </w:rPr>
              <w:t>距離鐵路通風塔口≥5米；如鐵路通風塔所排放的氣體經疏導後，不會因自然對流影響建築物開口，有關距離可縮減至</w:t>
            </w:r>
            <w:r>
              <w:t>2.5</w:t>
            </w:r>
            <w:r>
              <w:rPr>
                <w:rFonts w:hint="eastAsia"/>
              </w:rPr>
              <w:t>米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