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3125027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9"/>
        <w:outlineLvl w:val="9"/>
        <w:rPr>
          <w:rFonts w:hint="eastAsia" w:eastAsiaTheme="minorEastAsia"/>
          <w:sz w:val="48"/>
          <w:lang w:eastAsia="zh-CN"/>
        </w:rPr>
      </w:pPr>
      <w:bookmarkStart w:id="6" w:name="_Toc27116"/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用</w:t>
      </w:r>
      <w:bookmarkEnd w:id="6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7" w:name="_Toc28498"/>
      <w:r>
        <w:rPr>
          <w:rFonts w:hint="eastAsia"/>
          <w:sz w:val="48"/>
          <w:lang w:val="en-US" w:eastAsia="zh-CN"/>
        </w:rPr>
        <w:t>户</w:t>
      </w:r>
      <w:bookmarkEnd w:id="7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8" w:name="_Toc31295"/>
      <w:r>
        <w:rPr>
          <w:rFonts w:hint="eastAsia"/>
          <w:sz w:val="48"/>
          <w:lang w:val="en-US" w:eastAsia="zh-CN"/>
        </w:rPr>
        <w:t>群</w:t>
      </w:r>
      <w:bookmarkEnd w:id="8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9" w:name="_Toc28810"/>
      <w:r>
        <w:rPr>
          <w:rFonts w:hint="eastAsia"/>
          <w:sz w:val="48"/>
          <w:lang w:val="en-US" w:eastAsia="zh-CN"/>
        </w:rPr>
        <w:t>分</w:t>
      </w:r>
      <w:bookmarkEnd w:id="9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10" w:name="_Toc20259"/>
      <w:r>
        <w:rPr>
          <w:rFonts w:hint="eastAsia"/>
          <w:sz w:val="48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_Toc6875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1.用户群分类：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_Toc6875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_Toc15711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2.客户代表：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_Toc15711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5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_Toc20541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3.用户职责：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_Toc20541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7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6875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用户群分类：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6" w:name="_Toc15711"/>
      <w:bookmarkStart w:id="17" w:name="_Toc24825378"/>
      <w:r>
        <w:rPr>
          <w:rFonts w:hint="eastAsia" w:ascii="宋体" w:hAnsi="宋体" w:eastAsia="宋体" w:cs="宋体"/>
        </w:rPr>
        <w:t>2.客户代表：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相关课程感兴趣的学生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用户职责：</w:t>
      </w:r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8" w:name="_Toc24825379"/>
            <w:bookmarkStart w:id="19" w:name="_Toc20541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主导软件工程教学辅助APP开发的方向、有对项目成果进行检查和评审的权利。需要给予开发组正确的开发方向。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8"/>
      <w:bookmarkEnd w:id="19"/>
    </w:tbl>
    <w:p>
      <w:pPr>
        <w:rPr>
          <w:rFonts w:ascii="宋体" w:hAnsi="宋体" w:eastAsia="宋体"/>
        </w:rPr>
      </w:pPr>
      <w:bookmarkStart w:id="20" w:name="_GoBack"/>
      <w:bookmarkEnd w:id="20"/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2DE385D"/>
    <w:rsid w:val="15FB2693"/>
    <w:rsid w:val="19074F6D"/>
    <w:rsid w:val="2D7779E3"/>
    <w:rsid w:val="3D403A5D"/>
    <w:rsid w:val="3D692DC8"/>
    <w:rsid w:val="3E6D08E5"/>
    <w:rsid w:val="43CF1FE8"/>
    <w:rsid w:val="45C54CD1"/>
    <w:rsid w:val="55090441"/>
    <w:rsid w:val="5A6E28CC"/>
    <w:rsid w:val="5D9215BC"/>
    <w:rsid w:val="642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4</TotalTime>
  <ScaleCrop>false</ScaleCrop>
  <LinksUpToDate>false</LinksUpToDate>
  <CharactersWithSpaces>5220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WPS_1505052829</cp:lastModifiedBy>
  <dcterms:modified xsi:type="dcterms:W3CDTF">2021-04-11T04:44:16Z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E171DFC0798641C29E4EAD2A027D0F24</vt:lpwstr>
  </property>
</Properties>
</file>