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981" w:rsidRDefault="00CA7C70" w:rsidP="00743981">
      <w:pPr>
        <w:pStyle w:val="Default"/>
      </w:pPr>
      <w:r>
        <w:t xml:space="preserve">Student Number: </w:t>
      </w:r>
      <w:r w:rsidR="00165EFA" w:rsidRPr="00165EFA">
        <w:t>n8975698</w:t>
      </w:r>
    </w:p>
    <w:p w:rsidR="00CA7C70" w:rsidRDefault="00CA7C70" w:rsidP="00CA7C70">
      <w:pPr>
        <w:pStyle w:val="Default"/>
        <w:spacing w:line="360" w:lineRule="auto"/>
        <w:jc w:val="center"/>
      </w:pPr>
      <w:r>
        <w:t>INX370 Assignment 1 Assessment Rubric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2362"/>
        <w:gridCol w:w="2428"/>
        <w:gridCol w:w="2512"/>
        <w:gridCol w:w="2343"/>
        <w:gridCol w:w="2429"/>
        <w:gridCol w:w="1048"/>
      </w:tblGrid>
      <w:tr w:rsidR="00743981" w:rsidRPr="00743981" w:rsidTr="000116F5">
        <w:trPr>
          <w:trHeight w:val="427"/>
        </w:trPr>
        <w:tc>
          <w:tcPr>
            <w:tcW w:w="806" w:type="pct"/>
            <w:vMerge w:val="restart"/>
            <w:vAlign w:val="bottom"/>
          </w:tcPr>
          <w:p w:rsidR="00743981" w:rsidRPr="00743981" w:rsidRDefault="00743981" w:rsidP="003A5C3C">
            <w:pPr>
              <w:pStyle w:val="Default"/>
              <w:spacing w:before="120"/>
              <w:jc w:val="center"/>
              <w:rPr>
                <w:sz w:val="22"/>
                <w:szCs w:val="22"/>
              </w:rPr>
            </w:pPr>
            <w:r>
              <w:rPr>
                <w:sz w:val="22"/>
                <w:szCs w:val="22"/>
              </w:rPr>
              <w:t>Criteria / objective</w:t>
            </w:r>
          </w:p>
        </w:tc>
        <w:tc>
          <w:tcPr>
            <w:tcW w:w="4194" w:type="pct"/>
            <w:gridSpan w:val="6"/>
          </w:tcPr>
          <w:p w:rsidR="00743981" w:rsidRPr="00743981" w:rsidRDefault="00743981" w:rsidP="00743981">
            <w:pPr>
              <w:pStyle w:val="Default"/>
              <w:spacing w:before="120"/>
              <w:jc w:val="center"/>
              <w:rPr>
                <w:sz w:val="22"/>
                <w:szCs w:val="22"/>
              </w:rPr>
            </w:pPr>
            <w:r>
              <w:rPr>
                <w:sz w:val="22"/>
                <w:szCs w:val="22"/>
              </w:rPr>
              <w:t>Performance Level (Grade equivalent)</w:t>
            </w:r>
          </w:p>
        </w:tc>
      </w:tr>
      <w:tr w:rsidR="00743981" w:rsidRPr="00743981" w:rsidTr="000116F5">
        <w:trPr>
          <w:trHeight w:val="418"/>
        </w:trPr>
        <w:tc>
          <w:tcPr>
            <w:tcW w:w="806" w:type="pct"/>
            <w:vMerge/>
          </w:tcPr>
          <w:p w:rsidR="00743981" w:rsidRPr="00743981" w:rsidRDefault="00743981" w:rsidP="00743981">
            <w:pPr>
              <w:pStyle w:val="Default"/>
              <w:spacing w:before="120"/>
              <w:rPr>
                <w:sz w:val="22"/>
                <w:szCs w:val="22"/>
              </w:rPr>
            </w:pPr>
          </w:p>
        </w:tc>
        <w:tc>
          <w:tcPr>
            <w:tcW w:w="764" w:type="pct"/>
            <w:vAlign w:val="center"/>
          </w:tcPr>
          <w:p w:rsidR="00743981" w:rsidRPr="00743981" w:rsidRDefault="00743981" w:rsidP="003A5C3C">
            <w:pPr>
              <w:pStyle w:val="Default"/>
              <w:spacing w:before="120"/>
              <w:jc w:val="center"/>
              <w:rPr>
                <w:sz w:val="22"/>
                <w:szCs w:val="22"/>
              </w:rPr>
            </w:pPr>
            <w:r>
              <w:rPr>
                <w:sz w:val="22"/>
                <w:szCs w:val="22"/>
              </w:rPr>
              <w:t>7</w:t>
            </w:r>
          </w:p>
        </w:tc>
        <w:tc>
          <w:tcPr>
            <w:tcW w:w="785" w:type="pct"/>
            <w:vAlign w:val="center"/>
          </w:tcPr>
          <w:p w:rsidR="00743981" w:rsidRPr="00743981" w:rsidRDefault="00743981" w:rsidP="003A5C3C">
            <w:pPr>
              <w:pStyle w:val="Default"/>
              <w:spacing w:before="120"/>
              <w:jc w:val="center"/>
              <w:rPr>
                <w:sz w:val="22"/>
                <w:szCs w:val="22"/>
              </w:rPr>
            </w:pPr>
            <w:r>
              <w:rPr>
                <w:sz w:val="22"/>
                <w:szCs w:val="22"/>
              </w:rPr>
              <w:t>6</w:t>
            </w:r>
          </w:p>
        </w:tc>
        <w:tc>
          <w:tcPr>
            <w:tcW w:w="812" w:type="pct"/>
            <w:vAlign w:val="center"/>
          </w:tcPr>
          <w:p w:rsidR="00743981" w:rsidRPr="00743981" w:rsidRDefault="00743981" w:rsidP="003A5C3C">
            <w:pPr>
              <w:pStyle w:val="Default"/>
              <w:spacing w:before="120"/>
              <w:jc w:val="center"/>
              <w:rPr>
                <w:sz w:val="22"/>
                <w:szCs w:val="22"/>
              </w:rPr>
            </w:pPr>
            <w:r>
              <w:rPr>
                <w:sz w:val="22"/>
                <w:szCs w:val="22"/>
              </w:rPr>
              <w:t>5</w:t>
            </w:r>
          </w:p>
        </w:tc>
        <w:tc>
          <w:tcPr>
            <w:tcW w:w="758" w:type="pct"/>
            <w:vAlign w:val="center"/>
          </w:tcPr>
          <w:p w:rsidR="00743981" w:rsidRPr="00743981" w:rsidRDefault="00743981" w:rsidP="003A5C3C">
            <w:pPr>
              <w:pStyle w:val="Default"/>
              <w:spacing w:before="120"/>
              <w:jc w:val="center"/>
              <w:rPr>
                <w:sz w:val="22"/>
                <w:szCs w:val="22"/>
              </w:rPr>
            </w:pPr>
            <w:r>
              <w:rPr>
                <w:sz w:val="22"/>
                <w:szCs w:val="22"/>
              </w:rPr>
              <w:t>4-3</w:t>
            </w:r>
          </w:p>
        </w:tc>
        <w:tc>
          <w:tcPr>
            <w:tcW w:w="785" w:type="pct"/>
            <w:vAlign w:val="center"/>
          </w:tcPr>
          <w:p w:rsidR="00743981" w:rsidRPr="00743981" w:rsidRDefault="00743981" w:rsidP="003A5C3C">
            <w:pPr>
              <w:pStyle w:val="Default"/>
              <w:spacing w:before="120"/>
              <w:jc w:val="center"/>
              <w:rPr>
                <w:sz w:val="22"/>
                <w:szCs w:val="22"/>
              </w:rPr>
            </w:pPr>
            <w:r>
              <w:rPr>
                <w:sz w:val="22"/>
                <w:szCs w:val="22"/>
              </w:rPr>
              <w:t>2-1</w:t>
            </w:r>
          </w:p>
        </w:tc>
        <w:tc>
          <w:tcPr>
            <w:tcW w:w="290" w:type="pct"/>
            <w:vAlign w:val="center"/>
          </w:tcPr>
          <w:p w:rsidR="00743981" w:rsidRPr="00743981" w:rsidRDefault="007F0CB9" w:rsidP="003A5C3C">
            <w:pPr>
              <w:pStyle w:val="Default"/>
              <w:spacing w:before="120"/>
              <w:jc w:val="center"/>
              <w:rPr>
                <w:sz w:val="22"/>
                <w:szCs w:val="22"/>
              </w:rPr>
            </w:pPr>
            <w:r>
              <w:rPr>
                <w:sz w:val="22"/>
                <w:szCs w:val="22"/>
              </w:rPr>
              <w:t>Mark</w:t>
            </w:r>
          </w:p>
        </w:tc>
      </w:tr>
      <w:tr w:rsidR="007F0CB9" w:rsidRPr="00743981" w:rsidTr="000116F5">
        <w:trPr>
          <w:trHeight w:val="936"/>
        </w:trPr>
        <w:tc>
          <w:tcPr>
            <w:tcW w:w="806" w:type="pct"/>
          </w:tcPr>
          <w:p w:rsidR="007F0CB9" w:rsidRPr="00743981" w:rsidRDefault="007F0CB9" w:rsidP="009F3130">
            <w:pPr>
              <w:pStyle w:val="Default"/>
              <w:rPr>
                <w:sz w:val="22"/>
                <w:szCs w:val="22"/>
              </w:rPr>
            </w:pPr>
            <w:r w:rsidRPr="00743981">
              <w:rPr>
                <w:sz w:val="22"/>
                <w:szCs w:val="22"/>
              </w:rPr>
              <w:t xml:space="preserve">Ability to implement complex application logic from a specification in a modern OO language, and to integrate with existing code. </w:t>
            </w:r>
          </w:p>
          <w:p w:rsidR="007F0CB9" w:rsidRPr="00743981" w:rsidRDefault="007F0CB9" w:rsidP="009F3130">
            <w:pPr>
              <w:pStyle w:val="Default"/>
              <w:rPr>
                <w:sz w:val="22"/>
                <w:szCs w:val="22"/>
              </w:rPr>
            </w:pPr>
            <w:r w:rsidRPr="00743981">
              <w:rPr>
                <w:sz w:val="22"/>
                <w:szCs w:val="22"/>
              </w:rPr>
              <w:t xml:space="preserve">(7 marks in total) </w:t>
            </w:r>
          </w:p>
        </w:tc>
        <w:tc>
          <w:tcPr>
            <w:tcW w:w="764" w:type="pct"/>
            <w:tcBorders>
              <w:bottom w:val="single" w:sz="4" w:space="0" w:color="auto"/>
            </w:tcBorders>
          </w:tcPr>
          <w:p w:rsidR="007F0CB9" w:rsidRPr="003A5C3C" w:rsidRDefault="007F0CB9" w:rsidP="007F0CB9">
            <w:pPr>
              <w:pStyle w:val="Default"/>
              <w:rPr>
                <w:sz w:val="18"/>
                <w:szCs w:val="22"/>
              </w:rPr>
            </w:pPr>
            <w:r w:rsidRPr="003A5C3C">
              <w:rPr>
                <w:sz w:val="18"/>
                <w:szCs w:val="22"/>
              </w:rPr>
              <w:t xml:space="preserve">The </w:t>
            </w:r>
            <w:proofErr w:type="gramStart"/>
            <w:r w:rsidRPr="003A5C3C">
              <w:rPr>
                <w:sz w:val="18"/>
                <w:szCs w:val="22"/>
              </w:rPr>
              <w:t>model</w:t>
            </w:r>
            <w:proofErr w:type="gramEnd"/>
            <w:r w:rsidRPr="003A5C3C">
              <w:rPr>
                <w:sz w:val="18"/>
                <w:szCs w:val="22"/>
              </w:rPr>
              <w:t xml:space="preserve"> classes are complete, professionally structured and pass both the student-supplied and assessment unit tests without error. The GUI based game runs without error. </w:t>
            </w:r>
          </w:p>
          <w:p w:rsidR="007F0CB9" w:rsidRPr="007F0CB9" w:rsidRDefault="007F0CB9" w:rsidP="007F0CB9">
            <w:pPr>
              <w:pStyle w:val="Default"/>
              <w:jc w:val="right"/>
              <w:rPr>
                <w:sz w:val="20"/>
                <w:szCs w:val="22"/>
              </w:rPr>
            </w:pPr>
            <w:r w:rsidRPr="007F0CB9">
              <w:rPr>
                <w:sz w:val="20"/>
                <w:szCs w:val="22"/>
              </w:rPr>
              <w:t xml:space="preserve">(7 marks) </w:t>
            </w:r>
          </w:p>
        </w:tc>
        <w:tc>
          <w:tcPr>
            <w:tcW w:w="785" w:type="pct"/>
            <w:tcBorders>
              <w:bottom w:val="single" w:sz="4" w:space="0" w:color="auto"/>
            </w:tcBorders>
          </w:tcPr>
          <w:p w:rsidR="007F0CB9" w:rsidRPr="007F0CB9" w:rsidRDefault="003A5C3C" w:rsidP="003A5C3C">
            <w:pPr>
              <w:pStyle w:val="Default"/>
              <w:rPr>
                <w:sz w:val="20"/>
                <w:szCs w:val="22"/>
              </w:rPr>
            </w:pPr>
            <w:r w:rsidRPr="003A5C3C">
              <w:rPr>
                <w:sz w:val="18"/>
                <w:szCs w:val="22"/>
              </w:rPr>
              <w:t>Both classes are complete and well structured, but the testing process yields a number of errors which may affect game play occasionally. The GUI based game runs without apparent error for most cases.</w:t>
            </w:r>
          </w:p>
          <w:p w:rsidR="007F0CB9" w:rsidRPr="007F0CB9" w:rsidRDefault="007F0CB9" w:rsidP="009F3130">
            <w:pPr>
              <w:pStyle w:val="Default"/>
              <w:jc w:val="right"/>
              <w:rPr>
                <w:sz w:val="20"/>
                <w:szCs w:val="22"/>
              </w:rPr>
            </w:pPr>
            <w:r w:rsidRPr="007F0CB9">
              <w:rPr>
                <w:sz w:val="20"/>
                <w:szCs w:val="22"/>
              </w:rPr>
              <w:t xml:space="preserve">(6 marks) </w:t>
            </w:r>
          </w:p>
        </w:tc>
        <w:tc>
          <w:tcPr>
            <w:tcW w:w="812" w:type="pct"/>
            <w:tcBorders>
              <w:bottom w:val="single" w:sz="4" w:space="0" w:color="auto"/>
            </w:tcBorders>
          </w:tcPr>
          <w:p w:rsidR="007F0CB9" w:rsidRPr="007F0CB9" w:rsidRDefault="007F0CB9" w:rsidP="009F3130">
            <w:pPr>
              <w:pStyle w:val="Default"/>
              <w:rPr>
                <w:sz w:val="20"/>
                <w:szCs w:val="22"/>
              </w:rPr>
            </w:pPr>
            <w:r w:rsidRPr="003A5C3C">
              <w:rPr>
                <w:sz w:val="18"/>
                <w:szCs w:val="22"/>
              </w:rPr>
              <w:t xml:space="preserve">Both classes are complete, but errors are found during testing which may affect operation of the simulation. The GUI usually runs without error. </w:t>
            </w:r>
          </w:p>
          <w:p w:rsidR="007F0CB9" w:rsidRPr="007F0CB9" w:rsidRDefault="007F0CB9" w:rsidP="009F3130">
            <w:pPr>
              <w:pStyle w:val="Default"/>
              <w:jc w:val="right"/>
              <w:rPr>
                <w:sz w:val="20"/>
                <w:szCs w:val="22"/>
              </w:rPr>
            </w:pPr>
            <w:r w:rsidRPr="007F0CB9">
              <w:rPr>
                <w:sz w:val="20"/>
                <w:szCs w:val="22"/>
              </w:rPr>
              <w:t xml:space="preserve">(5 marks) </w:t>
            </w:r>
          </w:p>
        </w:tc>
        <w:tc>
          <w:tcPr>
            <w:tcW w:w="758" w:type="pct"/>
            <w:tcBorders>
              <w:bottom w:val="single" w:sz="4" w:space="0" w:color="auto"/>
            </w:tcBorders>
          </w:tcPr>
          <w:p w:rsidR="007F0CB9" w:rsidRPr="007F0CB9" w:rsidRDefault="007F0CB9" w:rsidP="009F3130">
            <w:pPr>
              <w:pStyle w:val="Default"/>
              <w:rPr>
                <w:sz w:val="20"/>
                <w:szCs w:val="22"/>
              </w:rPr>
            </w:pPr>
            <w:r w:rsidRPr="003A5C3C">
              <w:rPr>
                <w:sz w:val="18"/>
                <w:szCs w:val="22"/>
              </w:rPr>
              <w:t>Some aspects of one or more model classes are poorly structured or plainly incorrect. The GUI exhibits some instability when the code is integrated. The unit testing process exhibits many errors.</w:t>
            </w:r>
            <w:r w:rsidRPr="007F0CB9">
              <w:rPr>
                <w:sz w:val="20"/>
                <w:szCs w:val="22"/>
              </w:rPr>
              <w:t xml:space="preserve"> </w:t>
            </w:r>
          </w:p>
          <w:p w:rsidR="007F0CB9" w:rsidRPr="007F0CB9" w:rsidRDefault="007F0CB9" w:rsidP="009F3130">
            <w:pPr>
              <w:pStyle w:val="Default"/>
              <w:jc w:val="right"/>
              <w:rPr>
                <w:sz w:val="20"/>
                <w:szCs w:val="22"/>
              </w:rPr>
            </w:pPr>
            <w:r w:rsidRPr="007F0CB9">
              <w:rPr>
                <w:sz w:val="20"/>
                <w:szCs w:val="22"/>
              </w:rPr>
              <w:t xml:space="preserve">(3-4 marks) </w:t>
            </w:r>
          </w:p>
        </w:tc>
        <w:tc>
          <w:tcPr>
            <w:tcW w:w="785" w:type="pct"/>
            <w:tcBorders>
              <w:bottom w:val="single" w:sz="4" w:space="0" w:color="auto"/>
            </w:tcBorders>
          </w:tcPr>
          <w:p w:rsidR="007F0CB9" w:rsidRPr="007F0CB9" w:rsidRDefault="007F0CB9" w:rsidP="009F3130">
            <w:pPr>
              <w:pStyle w:val="Default"/>
              <w:rPr>
                <w:sz w:val="20"/>
                <w:szCs w:val="22"/>
              </w:rPr>
            </w:pPr>
            <w:r w:rsidRPr="007F0CB9">
              <w:rPr>
                <w:sz w:val="20"/>
                <w:szCs w:val="22"/>
              </w:rPr>
              <w:t>T</w:t>
            </w:r>
            <w:r w:rsidRPr="003A5C3C">
              <w:rPr>
                <w:sz w:val="18"/>
                <w:szCs w:val="22"/>
              </w:rPr>
              <w:t xml:space="preserve">he model classes are markedly incomplete or non-existent. </w:t>
            </w:r>
          </w:p>
          <w:p w:rsidR="007F0CB9" w:rsidRPr="007F0CB9" w:rsidRDefault="007F0CB9" w:rsidP="009F3130">
            <w:pPr>
              <w:pStyle w:val="Default"/>
              <w:jc w:val="right"/>
              <w:rPr>
                <w:sz w:val="20"/>
                <w:szCs w:val="22"/>
              </w:rPr>
            </w:pPr>
            <w:r w:rsidRPr="007F0CB9">
              <w:rPr>
                <w:sz w:val="20"/>
                <w:szCs w:val="22"/>
              </w:rPr>
              <w:t xml:space="preserve">(0-2 marks) </w:t>
            </w:r>
          </w:p>
        </w:tc>
        <w:tc>
          <w:tcPr>
            <w:tcW w:w="290" w:type="pct"/>
          </w:tcPr>
          <w:p w:rsidR="007F0CB9" w:rsidRPr="00743981" w:rsidRDefault="007F0CB9" w:rsidP="00A44E3D">
            <w:pPr>
              <w:pStyle w:val="Default"/>
              <w:jc w:val="right"/>
              <w:rPr>
                <w:sz w:val="22"/>
                <w:szCs w:val="22"/>
              </w:rPr>
            </w:pPr>
          </w:p>
        </w:tc>
      </w:tr>
      <w:tr w:rsidR="007F0CB9" w:rsidRPr="00743981" w:rsidTr="000116F5">
        <w:trPr>
          <w:trHeight w:val="936"/>
        </w:trPr>
        <w:tc>
          <w:tcPr>
            <w:tcW w:w="806" w:type="pct"/>
            <w:tcBorders>
              <w:bottom w:val="single" w:sz="4" w:space="0" w:color="auto"/>
            </w:tcBorders>
          </w:tcPr>
          <w:p w:rsidR="007F0CB9" w:rsidRPr="00743981" w:rsidRDefault="007F0CB9" w:rsidP="009F3130">
            <w:pPr>
              <w:pStyle w:val="Default"/>
              <w:rPr>
                <w:sz w:val="22"/>
                <w:szCs w:val="22"/>
              </w:rPr>
            </w:pPr>
            <w:r>
              <w:rPr>
                <w:sz w:val="22"/>
                <w:szCs w:val="22"/>
              </w:rPr>
              <w:t>Comments</w:t>
            </w:r>
          </w:p>
        </w:tc>
        <w:tc>
          <w:tcPr>
            <w:tcW w:w="3904" w:type="pct"/>
            <w:gridSpan w:val="5"/>
            <w:tcBorders>
              <w:bottom w:val="single" w:sz="4" w:space="0" w:color="auto"/>
            </w:tcBorders>
          </w:tcPr>
          <w:p w:rsidR="007F0CB9" w:rsidRPr="00743981" w:rsidRDefault="00165EFA" w:rsidP="00165EFA">
            <w:pPr>
              <w:pStyle w:val="Default"/>
              <w:rPr>
                <w:sz w:val="22"/>
                <w:szCs w:val="22"/>
              </w:rPr>
            </w:pPr>
            <w:r>
              <w:rPr>
                <w:sz w:val="22"/>
                <w:szCs w:val="22"/>
              </w:rPr>
              <w:t>Your implementations do not implement the required interfaces, so the methods do not match our requirements. This causes many of our tests to fail on your implementation, and many of your tests to fail on our implementation.</w:t>
            </w:r>
          </w:p>
        </w:tc>
        <w:tc>
          <w:tcPr>
            <w:tcW w:w="290" w:type="pct"/>
            <w:tcBorders>
              <w:bottom w:val="single" w:sz="4" w:space="0" w:color="auto"/>
            </w:tcBorders>
          </w:tcPr>
          <w:p w:rsidR="007F0CB9" w:rsidRPr="00743981" w:rsidRDefault="00165EFA" w:rsidP="00A44E3D">
            <w:pPr>
              <w:pStyle w:val="Default"/>
              <w:jc w:val="right"/>
              <w:rPr>
                <w:sz w:val="22"/>
                <w:szCs w:val="22"/>
              </w:rPr>
            </w:pPr>
            <w:r>
              <w:rPr>
                <w:sz w:val="22"/>
                <w:szCs w:val="22"/>
              </w:rPr>
              <w:t>4.25</w:t>
            </w:r>
            <w:r w:rsidR="00321322">
              <w:rPr>
                <w:sz w:val="22"/>
                <w:szCs w:val="22"/>
              </w:rPr>
              <w:t xml:space="preserve"> </w:t>
            </w:r>
            <w:r w:rsidR="007F0CB9" w:rsidRPr="00743981">
              <w:rPr>
                <w:sz w:val="22"/>
                <w:szCs w:val="22"/>
              </w:rPr>
              <w:t xml:space="preserve">/7 </w:t>
            </w:r>
          </w:p>
        </w:tc>
      </w:tr>
      <w:tr w:rsidR="00743981" w:rsidRPr="00743981" w:rsidTr="000116F5">
        <w:trPr>
          <w:trHeight w:val="242"/>
        </w:trPr>
        <w:tc>
          <w:tcPr>
            <w:tcW w:w="806" w:type="pct"/>
            <w:tcBorders>
              <w:top w:val="single" w:sz="4" w:space="0" w:color="auto"/>
              <w:left w:val="nil"/>
              <w:bottom w:val="single" w:sz="4" w:space="0" w:color="auto"/>
              <w:right w:val="nil"/>
            </w:tcBorders>
          </w:tcPr>
          <w:p w:rsidR="00743981" w:rsidRPr="00743981" w:rsidRDefault="00743981">
            <w:pPr>
              <w:pStyle w:val="Default"/>
              <w:rPr>
                <w:sz w:val="22"/>
                <w:szCs w:val="22"/>
              </w:rPr>
            </w:pPr>
          </w:p>
        </w:tc>
        <w:tc>
          <w:tcPr>
            <w:tcW w:w="764" w:type="pct"/>
            <w:tcBorders>
              <w:top w:val="single" w:sz="4" w:space="0" w:color="auto"/>
              <w:left w:val="nil"/>
              <w:bottom w:val="single" w:sz="4" w:space="0" w:color="auto"/>
              <w:right w:val="nil"/>
            </w:tcBorders>
          </w:tcPr>
          <w:p w:rsidR="00743981" w:rsidRPr="00743981" w:rsidRDefault="00743981" w:rsidP="00743981">
            <w:pPr>
              <w:pStyle w:val="Default"/>
              <w:jc w:val="right"/>
              <w:rPr>
                <w:sz w:val="22"/>
                <w:szCs w:val="22"/>
              </w:rPr>
            </w:pPr>
          </w:p>
        </w:tc>
        <w:tc>
          <w:tcPr>
            <w:tcW w:w="785" w:type="pct"/>
            <w:tcBorders>
              <w:top w:val="single" w:sz="4" w:space="0" w:color="auto"/>
              <w:left w:val="nil"/>
              <w:bottom w:val="single" w:sz="4" w:space="0" w:color="auto"/>
              <w:right w:val="nil"/>
            </w:tcBorders>
          </w:tcPr>
          <w:p w:rsidR="00743981" w:rsidRPr="00743981" w:rsidRDefault="00743981" w:rsidP="00743981">
            <w:pPr>
              <w:pStyle w:val="Default"/>
              <w:jc w:val="right"/>
              <w:rPr>
                <w:sz w:val="22"/>
                <w:szCs w:val="22"/>
              </w:rPr>
            </w:pPr>
          </w:p>
        </w:tc>
        <w:tc>
          <w:tcPr>
            <w:tcW w:w="812" w:type="pct"/>
            <w:tcBorders>
              <w:top w:val="single" w:sz="4" w:space="0" w:color="auto"/>
              <w:left w:val="nil"/>
              <w:bottom w:val="single" w:sz="4" w:space="0" w:color="auto"/>
              <w:right w:val="nil"/>
            </w:tcBorders>
          </w:tcPr>
          <w:p w:rsidR="00743981" w:rsidRPr="00743981" w:rsidRDefault="00743981" w:rsidP="00743981">
            <w:pPr>
              <w:pStyle w:val="Default"/>
              <w:jc w:val="right"/>
              <w:rPr>
                <w:sz w:val="22"/>
                <w:szCs w:val="22"/>
              </w:rPr>
            </w:pPr>
          </w:p>
        </w:tc>
        <w:tc>
          <w:tcPr>
            <w:tcW w:w="758" w:type="pct"/>
            <w:tcBorders>
              <w:top w:val="single" w:sz="4" w:space="0" w:color="auto"/>
              <w:left w:val="nil"/>
              <w:bottom w:val="single" w:sz="4" w:space="0" w:color="auto"/>
              <w:right w:val="nil"/>
            </w:tcBorders>
          </w:tcPr>
          <w:p w:rsidR="00743981" w:rsidRPr="00743981" w:rsidRDefault="00743981" w:rsidP="00743981">
            <w:pPr>
              <w:pStyle w:val="Default"/>
              <w:jc w:val="right"/>
              <w:rPr>
                <w:sz w:val="22"/>
                <w:szCs w:val="22"/>
              </w:rPr>
            </w:pPr>
          </w:p>
        </w:tc>
        <w:tc>
          <w:tcPr>
            <w:tcW w:w="785" w:type="pct"/>
            <w:tcBorders>
              <w:top w:val="single" w:sz="4" w:space="0" w:color="auto"/>
              <w:left w:val="nil"/>
              <w:bottom w:val="single" w:sz="4" w:space="0" w:color="auto"/>
              <w:right w:val="nil"/>
            </w:tcBorders>
          </w:tcPr>
          <w:p w:rsidR="00743981" w:rsidRPr="00743981" w:rsidRDefault="00743981" w:rsidP="00743981">
            <w:pPr>
              <w:pStyle w:val="Default"/>
              <w:jc w:val="right"/>
              <w:rPr>
                <w:sz w:val="22"/>
                <w:szCs w:val="22"/>
              </w:rPr>
            </w:pPr>
          </w:p>
        </w:tc>
        <w:tc>
          <w:tcPr>
            <w:tcW w:w="290" w:type="pct"/>
            <w:tcBorders>
              <w:top w:val="single" w:sz="4" w:space="0" w:color="auto"/>
              <w:left w:val="nil"/>
              <w:bottom w:val="single" w:sz="4" w:space="0" w:color="auto"/>
              <w:right w:val="nil"/>
            </w:tcBorders>
          </w:tcPr>
          <w:p w:rsidR="00743981" w:rsidRPr="00743981" w:rsidRDefault="00743981" w:rsidP="00A44E3D">
            <w:pPr>
              <w:pStyle w:val="Default"/>
              <w:jc w:val="right"/>
              <w:rPr>
                <w:sz w:val="22"/>
                <w:szCs w:val="22"/>
              </w:rPr>
            </w:pPr>
          </w:p>
        </w:tc>
      </w:tr>
      <w:tr w:rsidR="00743981" w:rsidRPr="00743981" w:rsidTr="000116F5">
        <w:trPr>
          <w:trHeight w:val="1118"/>
        </w:trPr>
        <w:tc>
          <w:tcPr>
            <w:tcW w:w="806" w:type="pct"/>
            <w:tcBorders>
              <w:top w:val="single" w:sz="4" w:space="0" w:color="auto"/>
            </w:tcBorders>
          </w:tcPr>
          <w:p w:rsidR="00743981" w:rsidRPr="00743981" w:rsidRDefault="00743981">
            <w:pPr>
              <w:pStyle w:val="Default"/>
              <w:rPr>
                <w:sz w:val="22"/>
                <w:szCs w:val="22"/>
              </w:rPr>
            </w:pPr>
            <w:r w:rsidRPr="00743981">
              <w:rPr>
                <w:sz w:val="22"/>
                <w:szCs w:val="22"/>
              </w:rPr>
              <w:t xml:space="preserve">Ability to design and </w:t>
            </w:r>
          </w:p>
          <w:p w:rsidR="00743981" w:rsidRPr="00743981" w:rsidRDefault="00743981">
            <w:pPr>
              <w:pStyle w:val="Default"/>
              <w:rPr>
                <w:sz w:val="22"/>
                <w:szCs w:val="22"/>
              </w:rPr>
            </w:pPr>
            <w:proofErr w:type="gramStart"/>
            <w:r w:rsidRPr="00743981">
              <w:rPr>
                <w:sz w:val="22"/>
                <w:szCs w:val="22"/>
              </w:rPr>
              <w:t>implement</w:t>
            </w:r>
            <w:proofErr w:type="gramEnd"/>
            <w:r w:rsidRPr="00743981">
              <w:rPr>
                <w:sz w:val="22"/>
                <w:szCs w:val="22"/>
              </w:rPr>
              <w:t xml:space="preserve"> professional unit test coverage from a specification under a modern unit testing framework. </w:t>
            </w:r>
          </w:p>
          <w:p w:rsidR="00743981" w:rsidRPr="00743981" w:rsidRDefault="00743981">
            <w:pPr>
              <w:pStyle w:val="Default"/>
              <w:rPr>
                <w:sz w:val="22"/>
                <w:szCs w:val="22"/>
              </w:rPr>
            </w:pPr>
            <w:r w:rsidRPr="00743981">
              <w:rPr>
                <w:sz w:val="22"/>
                <w:szCs w:val="22"/>
              </w:rPr>
              <w:t xml:space="preserve">(8 marks in total) </w:t>
            </w:r>
          </w:p>
        </w:tc>
        <w:tc>
          <w:tcPr>
            <w:tcW w:w="764" w:type="pct"/>
            <w:tcBorders>
              <w:top w:val="single" w:sz="4" w:space="0" w:color="auto"/>
            </w:tcBorders>
          </w:tcPr>
          <w:p w:rsidR="00743981" w:rsidRPr="003A5C3C" w:rsidRDefault="00743981">
            <w:pPr>
              <w:pStyle w:val="Default"/>
              <w:rPr>
                <w:sz w:val="18"/>
                <w:szCs w:val="22"/>
              </w:rPr>
            </w:pPr>
            <w:r w:rsidRPr="003A5C3C">
              <w:rPr>
                <w:sz w:val="18"/>
                <w:szCs w:val="22"/>
              </w:rPr>
              <w:t xml:space="preserve">The testing strategy and test implementation fully exercises the range of operations specified. Each non-trivial method has several specified test cases, and the supplied unit tests capture all or almost all of the variations in the ‘broken’ test code. The unit test methods are well designed and take advantage of the facilities provided by the test harness. </w:t>
            </w:r>
          </w:p>
          <w:p w:rsidR="00743981" w:rsidRPr="007F0CB9" w:rsidRDefault="00743981" w:rsidP="007F0CB9">
            <w:pPr>
              <w:pStyle w:val="Default"/>
              <w:jc w:val="right"/>
              <w:rPr>
                <w:sz w:val="20"/>
                <w:szCs w:val="22"/>
              </w:rPr>
            </w:pPr>
            <w:r w:rsidRPr="007F0CB9">
              <w:rPr>
                <w:sz w:val="20"/>
                <w:szCs w:val="22"/>
              </w:rPr>
              <w:t xml:space="preserve">(7-8 marks) </w:t>
            </w:r>
          </w:p>
        </w:tc>
        <w:tc>
          <w:tcPr>
            <w:tcW w:w="785" w:type="pct"/>
            <w:tcBorders>
              <w:top w:val="single" w:sz="4" w:space="0" w:color="auto"/>
            </w:tcBorders>
          </w:tcPr>
          <w:p w:rsidR="00743981" w:rsidRPr="003A5C3C" w:rsidRDefault="00743981">
            <w:pPr>
              <w:pStyle w:val="Default"/>
              <w:rPr>
                <w:sz w:val="18"/>
                <w:szCs w:val="22"/>
              </w:rPr>
            </w:pPr>
            <w:r w:rsidRPr="003A5C3C">
              <w:rPr>
                <w:sz w:val="18"/>
                <w:szCs w:val="22"/>
              </w:rPr>
              <w:t xml:space="preserve">The strategy exercises the range of operations but the test cases are less complete, with for example some obvious boundary or initial cases not considered. The unit test methods are well designed and take advantage of the facilities of the test harness, but the supplied unit tests fail to identify some of the problems in the broken test code. </w:t>
            </w:r>
          </w:p>
          <w:p w:rsidR="00743981" w:rsidRPr="007F0CB9" w:rsidRDefault="00743981" w:rsidP="007F0CB9">
            <w:pPr>
              <w:pStyle w:val="Default"/>
              <w:jc w:val="right"/>
              <w:rPr>
                <w:sz w:val="20"/>
                <w:szCs w:val="22"/>
              </w:rPr>
            </w:pPr>
            <w:r w:rsidRPr="007F0CB9">
              <w:rPr>
                <w:sz w:val="20"/>
                <w:szCs w:val="22"/>
              </w:rPr>
              <w:t xml:space="preserve">(6 marks) </w:t>
            </w:r>
          </w:p>
        </w:tc>
        <w:tc>
          <w:tcPr>
            <w:tcW w:w="812" w:type="pct"/>
            <w:tcBorders>
              <w:top w:val="single" w:sz="4" w:space="0" w:color="auto"/>
            </w:tcBorders>
          </w:tcPr>
          <w:p w:rsidR="00743981" w:rsidRPr="003A5C3C" w:rsidRDefault="00743981">
            <w:pPr>
              <w:pStyle w:val="Default"/>
              <w:rPr>
                <w:sz w:val="18"/>
                <w:szCs w:val="22"/>
              </w:rPr>
            </w:pPr>
            <w:r w:rsidRPr="003A5C3C">
              <w:rPr>
                <w:sz w:val="18"/>
                <w:szCs w:val="22"/>
              </w:rPr>
              <w:t xml:space="preserve">Coverage remains good, but is less complete than at the higher levels. Some methods perhaps have inadequate coverage, but the overall strategy is good. The use of the framework is reasonable, but perhaps could be better structured. </w:t>
            </w:r>
          </w:p>
          <w:p w:rsidR="00743981" w:rsidRPr="007F0CB9" w:rsidRDefault="00743981" w:rsidP="007F0CB9">
            <w:pPr>
              <w:pStyle w:val="Default"/>
              <w:jc w:val="right"/>
              <w:rPr>
                <w:sz w:val="20"/>
                <w:szCs w:val="22"/>
              </w:rPr>
            </w:pPr>
            <w:r w:rsidRPr="007F0CB9">
              <w:rPr>
                <w:sz w:val="20"/>
                <w:szCs w:val="22"/>
              </w:rPr>
              <w:t xml:space="preserve">(5 marks) </w:t>
            </w:r>
          </w:p>
        </w:tc>
        <w:tc>
          <w:tcPr>
            <w:tcW w:w="758" w:type="pct"/>
            <w:tcBorders>
              <w:top w:val="single" w:sz="4" w:space="0" w:color="auto"/>
            </w:tcBorders>
          </w:tcPr>
          <w:p w:rsidR="00743981" w:rsidRPr="003A5C3C" w:rsidRDefault="00743981">
            <w:pPr>
              <w:pStyle w:val="Default"/>
              <w:rPr>
                <w:sz w:val="18"/>
                <w:szCs w:val="22"/>
              </w:rPr>
            </w:pPr>
            <w:r w:rsidRPr="003A5C3C">
              <w:rPr>
                <w:sz w:val="18"/>
                <w:szCs w:val="22"/>
              </w:rPr>
              <w:t xml:space="preserve">Coverage is reasonable but there are significant omissions. Some methods are poorly covered, and the overall impression is of arbitrary test cases for the sake of completeness rather than as part of careful planning. The broken test code reveals many flaws in the strategy. </w:t>
            </w:r>
          </w:p>
          <w:p w:rsidR="00743981" w:rsidRPr="007F0CB9" w:rsidRDefault="00743981" w:rsidP="007F0CB9">
            <w:pPr>
              <w:pStyle w:val="Default"/>
              <w:jc w:val="right"/>
              <w:rPr>
                <w:sz w:val="20"/>
                <w:szCs w:val="22"/>
              </w:rPr>
            </w:pPr>
            <w:r w:rsidRPr="007F0CB9">
              <w:rPr>
                <w:sz w:val="20"/>
                <w:szCs w:val="22"/>
              </w:rPr>
              <w:t xml:space="preserve">(3-4 marks) </w:t>
            </w:r>
          </w:p>
        </w:tc>
        <w:tc>
          <w:tcPr>
            <w:tcW w:w="785" w:type="pct"/>
            <w:tcBorders>
              <w:top w:val="single" w:sz="4" w:space="0" w:color="auto"/>
            </w:tcBorders>
          </w:tcPr>
          <w:p w:rsidR="00743981" w:rsidRPr="003A5C3C" w:rsidRDefault="00743981">
            <w:pPr>
              <w:pStyle w:val="Default"/>
              <w:rPr>
                <w:sz w:val="18"/>
                <w:szCs w:val="22"/>
              </w:rPr>
            </w:pPr>
            <w:r w:rsidRPr="003A5C3C">
              <w:rPr>
                <w:sz w:val="18"/>
                <w:szCs w:val="22"/>
              </w:rPr>
              <w:t xml:space="preserve">Coverage is weak and in places almost non-existent. There are a number of methods which are barely tested at all. The use of the </w:t>
            </w:r>
            <w:proofErr w:type="spellStart"/>
            <w:r w:rsidRPr="003A5C3C">
              <w:rPr>
                <w:sz w:val="18"/>
                <w:szCs w:val="22"/>
              </w:rPr>
              <w:t>JUnit</w:t>
            </w:r>
            <w:proofErr w:type="spellEnd"/>
            <w:r w:rsidRPr="003A5C3C">
              <w:rPr>
                <w:sz w:val="18"/>
                <w:szCs w:val="22"/>
              </w:rPr>
              <w:t xml:space="preserve"> framework is poor and the supplied tests fail to capture much of the aberrant behaviour of the broken test code </w:t>
            </w:r>
          </w:p>
          <w:p w:rsidR="00743981" w:rsidRPr="007F0CB9" w:rsidRDefault="00743981" w:rsidP="007F0CB9">
            <w:pPr>
              <w:pStyle w:val="Default"/>
              <w:jc w:val="right"/>
              <w:rPr>
                <w:sz w:val="20"/>
                <w:szCs w:val="22"/>
              </w:rPr>
            </w:pPr>
            <w:r w:rsidRPr="007F0CB9">
              <w:rPr>
                <w:sz w:val="20"/>
                <w:szCs w:val="22"/>
              </w:rPr>
              <w:t xml:space="preserve">(0-1 marks) </w:t>
            </w:r>
          </w:p>
        </w:tc>
        <w:tc>
          <w:tcPr>
            <w:tcW w:w="290" w:type="pct"/>
            <w:tcBorders>
              <w:top w:val="single" w:sz="4" w:space="0" w:color="auto"/>
            </w:tcBorders>
          </w:tcPr>
          <w:p w:rsidR="00743981" w:rsidRPr="00743981" w:rsidRDefault="00743981" w:rsidP="00A44E3D">
            <w:pPr>
              <w:pStyle w:val="Default"/>
              <w:jc w:val="right"/>
              <w:rPr>
                <w:sz w:val="22"/>
                <w:szCs w:val="22"/>
              </w:rPr>
            </w:pPr>
          </w:p>
        </w:tc>
      </w:tr>
      <w:tr w:rsidR="007F0CB9" w:rsidRPr="00743981" w:rsidTr="000116F5">
        <w:trPr>
          <w:trHeight w:val="936"/>
        </w:trPr>
        <w:tc>
          <w:tcPr>
            <w:tcW w:w="806" w:type="pct"/>
            <w:tcBorders>
              <w:bottom w:val="single" w:sz="4" w:space="0" w:color="auto"/>
            </w:tcBorders>
          </w:tcPr>
          <w:p w:rsidR="007F0CB9" w:rsidRPr="00743981" w:rsidRDefault="007F0CB9" w:rsidP="009F3130">
            <w:pPr>
              <w:pStyle w:val="Default"/>
              <w:rPr>
                <w:sz w:val="22"/>
                <w:szCs w:val="22"/>
              </w:rPr>
            </w:pPr>
            <w:r>
              <w:rPr>
                <w:sz w:val="22"/>
                <w:szCs w:val="22"/>
              </w:rPr>
              <w:t>Comments</w:t>
            </w:r>
          </w:p>
        </w:tc>
        <w:tc>
          <w:tcPr>
            <w:tcW w:w="3904" w:type="pct"/>
            <w:gridSpan w:val="5"/>
            <w:tcBorders>
              <w:bottom w:val="single" w:sz="4" w:space="0" w:color="auto"/>
            </w:tcBorders>
          </w:tcPr>
          <w:p w:rsidR="007F0CB9" w:rsidRPr="00743981" w:rsidRDefault="00165EFA" w:rsidP="009F3130">
            <w:pPr>
              <w:pStyle w:val="Default"/>
              <w:rPr>
                <w:sz w:val="22"/>
                <w:szCs w:val="22"/>
              </w:rPr>
            </w:pPr>
            <w:r>
              <w:rPr>
                <w:sz w:val="22"/>
                <w:szCs w:val="22"/>
              </w:rPr>
              <w:t>See above. You were lucky this time, but things could have gone much worse.</w:t>
            </w:r>
          </w:p>
        </w:tc>
        <w:tc>
          <w:tcPr>
            <w:tcW w:w="290" w:type="pct"/>
            <w:tcBorders>
              <w:bottom w:val="single" w:sz="4" w:space="0" w:color="auto"/>
            </w:tcBorders>
          </w:tcPr>
          <w:p w:rsidR="007F0CB9" w:rsidRPr="00743981" w:rsidRDefault="00165EFA" w:rsidP="00A44E3D">
            <w:pPr>
              <w:pStyle w:val="Default"/>
              <w:jc w:val="right"/>
              <w:rPr>
                <w:sz w:val="22"/>
                <w:szCs w:val="22"/>
              </w:rPr>
            </w:pPr>
            <w:r>
              <w:rPr>
                <w:sz w:val="22"/>
                <w:szCs w:val="22"/>
              </w:rPr>
              <w:t>5.5</w:t>
            </w:r>
            <w:r w:rsidR="00321322">
              <w:rPr>
                <w:sz w:val="22"/>
                <w:szCs w:val="22"/>
              </w:rPr>
              <w:t xml:space="preserve"> </w:t>
            </w:r>
            <w:r w:rsidR="007F0CB9" w:rsidRPr="00743981">
              <w:rPr>
                <w:sz w:val="22"/>
                <w:szCs w:val="22"/>
              </w:rPr>
              <w:t>/8</w:t>
            </w:r>
          </w:p>
        </w:tc>
      </w:tr>
      <w:tr w:rsidR="007F0CB9" w:rsidRPr="00743981" w:rsidTr="000116F5">
        <w:trPr>
          <w:trHeight w:val="242"/>
        </w:trPr>
        <w:tc>
          <w:tcPr>
            <w:tcW w:w="806" w:type="pct"/>
            <w:tcBorders>
              <w:top w:val="single" w:sz="4" w:space="0" w:color="auto"/>
              <w:left w:val="nil"/>
              <w:bottom w:val="single" w:sz="4" w:space="0" w:color="auto"/>
              <w:right w:val="nil"/>
            </w:tcBorders>
          </w:tcPr>
          <w:p w:rsidR="007F0CB9" w:rsidRPr="00743981" w:rsidRDefault="007F0CB9" w:rsidP="009F3130">
            <w:pPr>
              <w:pStyle w:val="Default"/>
              <w:rPr>
                <w:sz w:val="22"/>
                <w:szCs w:val="22"/>
              </w:rPr>
            </w:pPr>
          </w:p>
        </w:tc>
        <w:tc>
          <w:tcPr>
            <w:tcW w:w="764" w:type="pct"/>
            <w:tcBorders>
              <w:top w:val="single" w:sz="4" w:space="0" w:color="auto"/>
              <w:left w:val="nil"/>
              <w:bottom w:val="single" w:sz="4" w:space="0" w:color="auto"/>
              <w:right w:val="nil"/>
            </w:tcBorders>
          </w:tcPr>
          <w:p w:rsidR="007F0CB9" w:rsidRPr="00743981" w:rsidRDefault="007F0CB9" w:rsidP="009F3130">
            <w:pPr>
              <w:pStyle w:val="Default"/>
              <w:jc w:val="right"/>
              <w:rPr>
                <w:sz w:val="22"/>
                <w:szCs w:val="22"/>
              </w:rPr>
            </w:pPr>
          </w:p>
        </w:tc>
        <w:tc>
          <w:tcPr>
            <w:tcW w:w="785" w:type="pct"/>
            <w:tcBorders>
              <w:top w:val="single" w:sz="4" w:space="0" w:color="auto"/>
              <w:left w:val="nil"/>
              <w:bottom w:val="single" w:sz="4" w:space="0" w:color="auto"/>
              <w:right w:val="nil"/>
            </w:tcBorders>
          </w:tcPr>
          <w:p w:rsidR="007F0CB9" w:rsidRPr="00743981" w:rsidRDefault="007F0CB9" w:rsidP="009F3130">
            <w:pPr>
              <w:pStyle w:val="Default"/>
              <w:jc w:val="right"/>
              <w:rPr>
                <w:sz w:val="22"/>
                <w:szCs w:val="22"/>
              </w:rPr>
            </w:pPr>
          </w:p>
        </w:tc>
        <w:tc>
          <w:tcPr>
            <w:tcW w:w="812" w:type="pct"/>
            <w:tcBorders>
              <w:top w:val="single" w:sz="4" w:space="0" w:color="auto"/>
              <w:left w:val="nil"/>
              <w:bottom w:val="single" w:sz="4" w:space="0" w:color="auto"/>
              <w:right w:val="nil"/>
            </w:tcBorders>
          </w:tcPr>
          <w:p w:rsidR="007F0CB9" w:rsidRPr="00743981" w:rsidRDefault="007F0CB9" w:rsidP="009F3130">
            <w:pPr>
              <w:pStyle w:val="Default"/>
              <w:jc w:val="right"/>
              <w:rPr>
                <w:sz w:val="22"/>
                <w:szCs w:val="22"/>
              </w:rPr>
            </w:pPr>
          </w:p>
        </w:tc>
        <w:tc>
          <w:tcPr>
            <w:tcW w:w="758" w:type="pct"/>
            <w:tcBorders>
              <w:top w:val="single" w:sz="4" w:space="0" w:color="auto"/>
              <w:left w:val="nil"/>
              <w:bottom w:val="single" w:sz="4" w:space="0" w:color="auto"/>
              <w:right w:val="nil"/>
            </w:tcBorders>
          </w:tcPr>
          <w:p w:rsidR="007F0CB9" w:rsidRPr="00743981" w:rsidRDefault="007F0CB9" w:rsidP="009F3130">
            <w:pPr>
              <w:pStyle w:val="Default"/>
              <w:jc w:val="right"/>
              <w:rPr>
                <w:sz w:val="22"/>
                <w:szCs w:val="22"/>
              </w:rPr>
            </w:pPr>
          </w:p>
        </w:tc>
        <w:tc>
          <w:tcPr>
            <w:tcW w:w="785" w:type="pct"/>
            <w:tcBorders>
              <w:top w:val="single" w:sz="4" w:space="0" w:color="auto"/>
              <w:left w:val="nil"/>
              <w:bottom w:val="single" w:sz="4" w:space="0" w:color="auto"/>
              <w:right w:val="nil"/>
            </w:tcBorders>
          </w:tcPr>
          <w:p w:rsidR="007F0CB9" w:rsidRPr="00743981" w:rsidRDefault="007F0CB9" w:rsidP="009F3130">
            <w:pPr>
              <w:pStyle w:val="Default"/>
              <w:jc w:val="right"/>
              <w:rPr>
                <w:sz w:val="22"/>
                <w:szCs w:val="22"/>
              </w:rPr>
            </w:pPr>
          </w:p>
        </w:tc>
        <w:tc>
          <w:tcPr>
            <w:tcW w:w="290" w:type="pct"/>
            <w:tcBorders>
              <w:top w:val="single" w:sz="4" w:space="0" w:color="auto"/>
              <w:left w:val="nil"/>
              <w:bottom w:val="single" w:sz="4" w:space="0" w:color="auto"/>
              <w:right w:val="nil"/>
            </w:tcBorders>
          </w:tcPr>
          <w:p w:rsidR="007F0CB9" w:rsidRPr="00743981" w:rsidRDefault="007F0CB9" w:rsidP="00A44E3D">
            <w:pPr>
              <w:pStyle w:val="Default"/>
              <w:jc w:val="right"/>
              <w:rPr>
                <w:sz w:val="22"/>
                <w:szCs w:val="22"/>
              </w:rPr>
            </w:pPr>
          </w:p>
        </w:tc>
      </w:tr>
      <w:tr w:rsidR="00743981" w:rsidRPr="00743981" w:rsidTr="000116F5">
        <w:trPr>
          <w:trHeight w:val="1027"/>
        </w:trPr>
        <w:tc>
          <w:tcPr>
            <w:tcW w:w="806" w:type="pct"/>
          </w:tcPr>
          <w:p w:rsidR="00743981" w:rsidRPr="00743981" w:rsidRDefault="00743981">
            <w:pPr>
              <w:pStyle w:val="Default"/>
              <w:rPr>
                <w:sz w:val="22"/>
                <w:szCs w:val="22"/>
              </w:rPr>
            </w:pPr>
            <w:r w:rsidRPr="00743981">
              <w:rPr>
                <w:sz w:val="22"/>
                <w:szCs w:val="22"/>
              </w:rPr>
              <w:t xml:space="preserve">Ability to write code </w:t>
            </w:r>
          </w:p>
          <w:p w:rsidR="00743981" w:rsidRPr="00743981" w:rsidRDefault="00743981">
            <w:pPr>
              <w:pStyle w:val="Default"/>
              <w:rPr>
                <w:sz w:val="22"/>
                <w:szCs w:val="22"/>
              </w:rPr>
            </w:pPr>
            <w:proofErr w:type="gramStart"/>
            <w:r w:rsidRPr="00743981">
              <w:rPr>
                <w:sz w:val="22"/>
                <w:szCs w:val="22"/>
              </w:rPr>
              <w:t>and</w:t>
            </w:r>
            <w:proofErr w:type="gramEnd"/>
            <w:r w:rsidRPr="00743981">
              <w:rPr>
                <w:sz w:val="22"/>
                <w:szCs w:val="22"/>
              </w:rPr>
              <w:t xml:space="preserve"> documentation to a professional standard. (5 marks in total) </w:t>
            </w:r>
          </w:p>
        </w:tc>
        <w:tc>
          <w:tcPr>
            <w:tcW w:w="764" w:type="pct"/>
          </w:tcPr>
          <w:p w:rsidR="00743981" w:rsidRPr="003A5C3C" w:rsidRDefault="00743981">
            <w:pPr>
              <w:pStyle w:val="Default"/>
              <w:rPr>
                <w:sz w:val="18"/>
                <w:szCs w:val="22"/>
              </w:rPr>
            </w:pPr>
            <w:r w:rsidRPr="003A5C3C">
              <w:rPr>
                <w:sz w:val="18"/>
                <w:szCs w:val="22"/>
              </w:rPr>
              <w:t xml:space="preserve">Both the java model and test code conforms to the standard presented in the supplied classes, interfaces and </w:t>
            </w:r>
            <w:proofErr w:type="spellStart"/>
            <w:r w:rsidRPr="003A5C3C">
              <w:rPr>
                <w:sz w:val="18"/>
                <w:szCs w:val="22"/>
              </w:rPr>
              <w:t>javadoc</w:t>
            </w:r>
            <w:proofErr w:type="spellEnd"/>
            <w:r w:rsidRPr="003A5C3C">
              <w:rPr>
                <w:sz w:val="18"/>
                <w:szCs w:val="22"/>
              </w:rPr>
              <w:t xml:space="preserve">. Identifiers </w:t>
            </w:r>
            <w:r w:rsidR="007F0CB9" w:rsidRPr="003A5C3C">
              <w:rPr>
                <w:sz w:val="18"/>
                <w:szCs w:val="22"/>
              </w:rPr>
              <w:t>a</w:t>
            </w:r>
            <w:r w:rsidRPr="003A5C3C">
              <w:rPr>
                <w:sz w:val="18"/>
                <w:szCs w:val="22"/>
              </w:rPr>
              <w:t xml:space="preserve">re self- documenting, commenting (including </w:t>
            </w:r>
            <w:proofErr w:type="spellStart"/>
            <w:r w:rsidRPr="003A5C3C">
              <w:rPr>
                <w:sz w:val="18"/>
                <w:szCs w:val="22"/>
              </w:rPr>
              <w:t>javadoc</w:t>
            </w:r>
            <w:proofErr w:type="spellEnd"/>
            <w:r w:rsidRPr="003A5C3C">
              <w:rPr>
                <w:sz w:val="18"/>
                <w:szCs w:val="22"/>
              </w:rPr>
              <w:t xml:space="preserve">) is consistent, light and aids comprehension. There is appropriate use of whitespace, and indentation is used to enhance understanding of structure. </w:t>
            </w:r>
          </w:p>
          <w:p w:rsidR="00743981" w:rsidRPr="007F0CB9" w:rsidRDefault="00743981" w:rsidP="003A5C3C">
            <w:pPr>
              <w:pStyle w:val="Default"/>
              <w:jc w:val="right"/>
              <w:rPr>
                <w:sz w:val="20"/>
                <w:szCs w:val="22"/>
              </w:rPr>
            </w:pPr>
            <w:r w:rsidRPr="007F0CB9">
              <w:rPr>
                <w:sz w:val="20"/>
                <w:szCs w:val="22"/>
              </w:rPr>
              <w:t xml:space="preserve">(5 marks) </w:t>
            </w:r>
          </w:p>
        </w:tc>
        <w:tc>
          <w:tcPr>
            <w:tcW w:w="1597" w:type="pct"/>
            <w:gridSpan w:val="2"/>
          </w:tcPr>
          <w:p w:rsidR="00743981" w:rsidRPr="007F0CB9" w:rsidRDefault="00743981">
            <w:pPr>
              <w:pStyle w:val="Default"/>
              <w:rPr>
                <w:sz w:val="20"/>
                <w:szCs w:val="22"/>
              </w:rPr>
            </w:pPr>
            <w:r w:rsidRPr="003A5C3C">
              <w:rPr>
                <w:sz w:val="18"/>
                <w:szCs w:val="22"/>
              </w:rPr>
              <w:t>Both the java model and test code basically conform to the standard, although there are some minor inconsistencies, excesses of commenting or poorly chosen identifiers. Identifiers are self-</w:t>
            </w:r>
            <w:proofErr w:type="gramStart"/>
            <w:r w:rsidRPr="003A5C3C">
              <w:rPr>
                <w:sz w:val="18"/>
                <w:szCs w:val="22"/>
              </w:rPr>
              <w:t>documenting,</w:t>
            </w:r>
            <w:proofErr w:type="gramEnd"/>
            <w:r w:rsidRPr="003A5C3C">
              <w:rPr>
                <w:sz w:val="18"/>
                <w:szCs w:val="22"/>
              </w:rPr>
              <w:t xml:space="preserve"> commenting is consistent, light and aids comprehension. Indentation and whitespace are usually consistent and an aid to comprehension. </w:t>
            </w:r>
          </w:p>
          <w:p w:rsidR="00743981" w:rsidRPr="007F0CB9" w:rsidRDefault="00743981" w:rsidP="003A5C3C">
            <w:pPr>
              <w:pStyle w:val="Default"/>
              <w:jc w:val="right"/>
              <w:rPr>
                <w:sz w:val="20"/>
                <w:szCs w:val="22"/>
              </w:rPr>
            </w:pPr>
            <w:r w:rsidRPr="007F0CB9">
              <w:rPr>
                <w:sz w:val="20"/>
                <w:szCs w:val="22"/>
              </w:rPr>
              <w:t xml:space="preserve">(3-4 marks) </w:t>
            </w:r>
          </w:p>
        </w:tc>
        <w:tc>
          <w:tcPr>
            <w:tcW w:w="758" w:type="pct"/>
          </w:tcPr>
          <w:p w:rsidR="00743981" w:rsidRPr="007F0CB9" w:rsidRDefault="00743981">
            <w:pPr>
              <w:pStyle w:val="Default"/>
              <w:rPr>
                <w:sz w:val="20"/>
                <w:szCs w:val="22"/>
              </w:rPr>
            </w:pPr>
            <w:r w:rsidRPr="003A5C3C">
              <w:rPr>
                <w:sz w:val="18"/>
                <w:szCs w:val="22"/>
              </w:rPr>
              <w:t xml:space="preserve">There is some attempt to employ good commenting, appropriate use of whitespace and self-documenting identifiers but this is often not consistent with the coding standard or itself inconsistently applied. Overall effect does not appear professional. </w:t>
            </w:r>
          </w:p>
          <w:p w:rsidR="00743981" w:rsidRPr="007F0CB9" w:rsidRDefault="00743981" w:rsidP="003A5C3C">
            <w:pPr>
              <w:pStyle w:val="Default"/>
              <w:jc w:val="right"/>
              <w:rPr>
                <w:sz w:val="20"/>
                <w:szCs w:val="22"/>
              </w:rPr>
            </w:pPr>
            <w:r w:rsidRPr="007F0CB9">
              <w:rPr>
                <w:sz w:val="20"/>
                <w:szCs w:val="22"/>
              </w:rPr>
              <w:t xml:space="preserve">(2 marks) </w:t>
            </w:r>
          </w:p>
        </w:tc>
        <w:tc>
          <w:tcPr>
            <w:tcW w:w="785" w:type="pct"/>
          </w:tcPr>
          <w:p w:rsidR="00743981" w:rsidRPr="003A5C3C" w:rsidRDefault="00743981">
            <w:pPr>
              <w:pStyle w:val="Default"/>
              <w:rPr>
                <w:sz w:val="18"/>
                <w:szCs w:val="22"/>
              </w:rPr>
            </w:pPr>
            <w:r w:rsidRPr="003A5C3C">
              <w:rPr>
                <w:sz w:val="18"/>
                <w:szCs w:val="22"/>
              </w:rPr>
              <w:t xml:space="preserve">Documentation is weak or non- existent, identifiers are often poorly chosen and the use of whitespace and indentation is poorly considered. Overall impression is very disorganised and unprofessional. </w:t>
            </w:r>
          </w:p>
          <w:p w:rsidR="00743981" w:rsidRPr="007F0CB9" w:rsidRDefault="00743981" w:rsidP="003A5C3C">
            <w:pPr>
              <w:pStyle w:val="Default"/>
              <w:jc w:val="right"/>
              <w:rPr>
                <w:sz w:val="20"/>
                <w:szCs w:val="22"/>
              </w:rPr>
            </w:pPr>
            <w:r w:rsidRPr="007F0CB9">
              <w:rPr>
                <w:sz w:val="20"/>
                <w:szCs w:val="22"/>
              </w:rPr>
              <w:t xml:space="preserve">(0-1 marks) </w:t>
            </w:r>
          </w:p>
        </w:tc>
        <w:tc>
          <w:tcPr>
            <w:tcW w:w="290" w:type="pct"/>
          </w:tcPr>
          <w:p w:rsidR="00743981" w:rsidRPr="00743981" w:rsidRDefault="00743981" w:rsidP="00A44E3D">
            <w:pPr>
              <w:pStyle w:val="Default"/>
              <w:jc w:val="right"/>
              <w:rPr>
                <w:sz w:val="22"/>
                <w:szCs w:val="22"/>
              </w:rPr>
            </w:pPr>
          </w:p>
        </w:tc>
      </w:tr>
      <w:tr w:rsidR="007F0CB9" w:rsidRPr="00743981" w:rsidTr="000116F5">
        <w:trPr>
          <w:trHeight w:val="936"/>
        </w:trPr>
        <w:tc>
          <w:tcPr>
            <w:tcW w:w="806" w:type="pct"/>
            <w:tcBorders>
              <w:bottom w:val="single" w:sz="4" w:space="0" w:color="auto"/>
            </w:tcBorders>
          </w:tcPr>
          <w:p w:rsidR="007F0CB9" w:rsidRPr="00743981" w:rsidRDefault="007F0CB9" w:rsidP="00304AF1">
            <w:pPr>
              <w:pStyle w:val="Default"/>
              <w:rPr>
                <w:sz w:val="22"/>
                <w:szCs w:val="22"/>
              </w:rPr>
            </w:pPr>
            <w:r>
              <w:rPr>
                <w:sz w:val="22"/>
                <w:szCs w:val="22"/>
              </w:rPr>
              <w:t>Comments</w:t>
            </w:r>
          </w:p>
        </w:tc>
        <w:tc>
          <w:tcPr>
            <w:tcW w:w="3904" w:type="pct"/>
            <w:gridSpan w:val="5"/>
            <w:tcBorders>
              <w:bottom w:val="single" w:sz="4" w:space="0" w:color="auto"/>
            </w:tcBorders>
          </w:tcPr>
          <w:p w:rsidR="007F0CB9" w:rsidRDefault="00A44E3D" w:rsidP="00304AF1">
            <w:pPr>
              <w:pStyle w:val="Default"/>
              <w:rPr>
                <w:sz w:val="22"/>
                <w:szCs w:val="22"/>
              </w:rPr>
            </w:pPr>
            <w:r>
              <w:rPr>
                <w:sz w:val="22"/>
                <w:szCs w:val="22"/>
              </w:rPr>
              <w:t>Major issues:</w:t>
            </w:r>
          </w:p>
          <w:p w:rsidR="00165EFA" w:rsidRPr="00F3004C" w:rsidRDefault="00165EFA" w:rsidP="00165EFA">
            <w:pPr>
              <w:pStyle w:val="ListParagraph"/>
              <w:numPr>
                <w:ilvl w:val="0"/>
                <w:numId w:val="2"/>
              </w:numPr>
              <w:rPr>
                <w:sz w:val="20"/>
              </w:rPr>
            </w:pPr>
            <w:r w:rsidRPr="00F3004C">
              <w:rPr>
                <w:sz w:val="20"/>
              </w:rPr>
              <w:t>Constants should be used for the boundary values for all parameters in the Actions and Log implementations.</w:t>
            </w:r>
            <w:r w:rsidRPr="001759D5">
              <w:rPr>
                <w:sz w:val="20"/>
              </w:rPr>
              <w:t xml:space="preserve"> </w:t>
            </w:r>
            <w:r>
              <w:rPr>
                <w:sz w:val="20"/>
              </w:rPr>
              <w:t>There is nothing special about 0 that makes it an obvious boundary value.</w:t>
            </w:r>
          </w:p>
          <w:p w:rsidR="00A44E3D" w:rsidRDefault="00A44E3D" w:rsidP="00A44E3D">
            <w:pPr>
              <w:pStyle w:val="Default"/>
              <w:rPr>
                <w:sz w:val="22"/>
                <w:szCs w:val="22"/>
              </w:rPr>
            </w:pPr>
            <w:r>
              <w:rPr>
                <w:sz w:val="22"/>
                <w:szCs w:val="22"/>
              </w:rPr>
              <w:t>Significant issues which have not been penalised:</w:t>
            </w:r>
          </w:p>
          <w:p w:rsidR="00165EFA" w:rsidRDefault="00165EFA" w:rsidP="00165EFA">
            <w:pPr>
              <w:pStyle w:val="ListParagraph"/>
              <w:numPr>
                <w:ilvl w:val="0"/>
                <w:numId w:val="3"/>
              </w:numPr>
              <w:rPr>
                <w:sz w:val="20"/>
              </w:rPr>
            </w:pPr>
            <w:r w:rsidRPr="00F3004C">
              <w:rPr>
                <w:sz w:val="20"/>
              </w:rPr>
              <w:t xml:space="preserve">Unit tests do not make proper use of constants and calculated dependent values, but use hard-coded literal values </w:t>
            </w:r>
            <w:r>
              <w:rPr>
                <w:sz w:val="20"/>
              </w:rPr>
              <w:t xml:space="preserve">and/or generic identifiers </w:t>
            </w:r>
            <w:r w:rsidRPr="00F3004C">
              <w:rPr>
                <w:sz w:val="20"/>
              </w:rPr>
              <w:t>instead.</w:t>
            </w:r>
            <w:r>
              <w:rPr>
                <w:sz w:val="20"/>
              </w:rPr>
              <w:t xml:space="preserve"> </w:t>
            </w:r>
            <w:r w:rsidRPr="00165EFA">
              <w:rPr>
                <w:i/>
                <w:sz w:val="20"/>
              </w:rPr>
              <w:t>Naming a constant the same as the parameter it will be used for does not tell us anything about the purpose of the selected value.</w:t>
            </w:r>
          </w:p>
          <w:p w:rsidR="00A44E3D" w:rsidRPr="00743981" w:rsidRDefault="00A44E3D" w:rsidP="00A44E3D">
            <w:pPr>
              <w:pStyle w:val="Default"/>
              <w:rPr>
                <w:sz w:val="22"/>
                <w:szCs w:val="22"/>
              </w:rPr>
            </w:pPr>
          </w:p>
        </w:tc>
        <w:tc>
          <w:tcPr>
            <w:tcW w:w="290" w:type="pct"/>
            <w:tcBorders>
              <w:bottom w:val="single" w:sz="4" w:space="0" w:color="auto"/>
            </w:tcBorders>
          </w:tcPr>
          <w:p w:rsidR="007F0CB9" w:rsidRPr="00743981" w:rsidRDefault="00165EFA" w:rsidP="00A44E3D">
            <w:pPr>
              <w:pStyle w:val="Default"/>
              <w:jc w:val="right"/>
              <w:rPr>
                <w:sz w:val="22"/>
                <w:szCs w:val="22"/>
              </w:rPr>
            </w:pPr>
            <w:r>
              <w:rPr>
                <w:sz w:val="22"/>
                <w:szCs w:val="22"/>
              </w:rPr>
              <w:t>4.5</w:t>
            </w:r>
            <w:r w:rsidR="00321322">
              <w:rPr>
                <w:sz w:val="22"/>
                <w:szCs w:val="22"/>
              </w:rPr>
              <w:t xml:space="preserve"> </w:t>
            </w:r>
            <w:r w:rsidR="007F0CB9" w:rsidRPr="00743981">
              <w:rPr>
                <w:sz w:val="22"/>
                <w:szCs w:val="22"/>
              </w:rPr>
              <w:t>/5</w:t>
            </w:r>
          </w:p>
        </w:tc>
      </w:tr>
      <w:tr w:rsidR="007F0CB9" w:rsidRPr="00743981" w:rsidTr="000116F5">
        <w:trPr>
          <w:trHeight w:val="484"/>
        </w:trPr>
        <w:tc>
          <w:tcPr>
            <w:tcW w:w="806" w:type="pct"/>
            <w:tcBorders>
              <w:top w:val="single" w:sz="4" w:space="0" w:color="auto"/>
              <w:left w:val="nil"/>
              <w:bottom w:val="single" w:sz="4" w:space="0" w:color="auto"/>
              <w:right w:val="nil"/>
            </w:tcBorders>
            <w:vAlign w:val="center"/>
          </w:tcPr>
          <w:p w:rsidR="007F0CB9" w:rsidRPr="00743981" w:rsidRDefault="003A5C3C" w:rsidP="003A5C3C">
            <w:pPr>
              <w:pStyle w:val="Default"/>
              <w:jc w:val="center"/>
              <w:rPr>
                <w:sz w:val="22"/>
                <w:szCs w:val="22"/>
              </w:rPr>
            </w:pPr>
            <w:r>
              <w:rPr>
                <w:sz w:val="22"/>
                <w:szCs w:val="22"/>
              </w:rPr>
              <w:t>Overall result</w:t>
            </w:r>
          </w:p>
        </w:tc>
        <w:tc>
          <w:tcPr>
            <w:tcW w:w="764" w:type="pct"/>
            <w:tcBorders>
              <w:top w:val="single" w:sz="4" w:space="0" w:color="auto"/>
              <w:left w:val="nil"/>
              <w:bottom w:val="single" w:sz="4" w:space="0" w:color="auto"/>
              <w:right w:val="nil"/>
            </w:tcBorders>
            <w:vAlign w:val="center"/>
          </w:tcPr>
          <w:p w:rsidR="007F0CB9" w:rsidRPr="00743981" w:rsidRDefault="007F0CB9" w:rsidP="003A5C3C">
            <w:pPr>
              <w:pStyle w:val="Default"/>
              <w:jc w:val="center"/>
              <w:rPr>
                <w:sz w:val="22"/>
                <w:szCs w:val="22"/>
              </w:rPr>
            </w:pPr>
          </w:p>
        </w:tc>
        <w:tc>
          <w:tcPr>
            <w:tcW w:w="785" w:type="pct"/>
            <w:tcBorders>
              <w:top w:val="single" w:sz="4" w:space="0" w:color="auto"/>
              <w:left w:val="nil"/>
              <w:bottom w:val="single" w:sz="4" w:space="0" w:color="auto"/>
              <w:right w:val="nil"/>
            </w:tcBorders>
            <w:vAlign w:val="center"/>
          </w:tcPr>
          <w:p w:rsidR="007F0CB9" w:rsidRPr="00743981" w:rsidRDefault="007F0CB9" w:rsidP="003A5C3C">
            <w:pPr>
              <w:pStyle w:val="Default"/>
              <w:jc w:val="center"/>
              <w:rPr>
                <w:sz w:val="22"/>
                <w:szCs w:val="22"/>
              </w:rPr>
            </w:pPr>
          </w:p>
        </w:tc>
        <w:tc>
          <w:tcPr>
            <w:tcW w:w="812" w:type="pct"/>
            <w:tcBorders>
              <w:top w:val="single" w:sz="4" w:space="0" w:color="auto"/>
              <w:left w:val="nil"/>
              <w:bottom w:val="single" w:sz="4" w:space="0" w:color="auto"/>
              <w:right w:val="nil"/>
            </w:tcBorders>
            <w:vAlign w:val="center"/>
          </w:tcPr>
          <w:p w:rsidR="007F0CB9" w:rsidRPr="00743981" w:rsidRDefault="007F0CB9" w:rsidP="003A5C3C">
            <w:pPr>
              <w:pStyle w:val="Default"/>
              <w:jc w:val="center"/>
              <w:rPr>
                <w:sz w:val="22"/>
                <w:szCs w:val="22"/>
              </w:rPr>
            </w:pPr>
          </w:p>
        </w:tc>
        <w:tc>
          <w:tcPr>
            <w:tcW w:w="758" w:type="pct"/>
            <w:tcBorders>
              <w:top w:val="single" w:sz="4" w:space="0" w:color="auto"/>
              <w:left w:val="nil"/>
              <w:bottom w:val="single" w:sz="4" w:space="0" w:color="auto"/>
              <w:right w:val="nil"/>
            </w:tcBorders>
            <w:vAlign w:val="center"/>
          </w:tcPr>
          <w:p w:rsidR="007F0CB9" w:rsidRPr="00743981" w:rsidRDefault="007F0CB9" w:rsidP="003A5C3C">
            <w:pPr>
              <w:pStyle w:val="Default"/>
              <w:jc w:val="center"/>
              <w:rPr>
                <w:sz w:val="22"/>
                <w:szCs w:val="22"/>
              </w:rPr>
            </w:pPr>
          </w:p>
        </w:tc>
        <w:tc>
          <w:tcPr>
            <w:tcW w:w="785" w:type="pct"/>
            <w:tcBorders>
              <w:top w:val="single" w:sz="4" w:space="0" w:color="auto"/>
              <w:left w:val="nil"/>
              <w:bottom w:val="single" w:sz="4" w:space="0" w:color="auto"/>
              <w:right w:val="nil"/>
            </w:tcBorders>
            <w:vAlign w:val="center"/>
          </w:tcPr>
          <w:p w:rsidR="007F0CB9" w:rsidRPr="00743981" w:rsidRDefault="007F0CB9" w:rsidP="003A5C3C">
            <w:pPr>
              <w:pStyle w:val="Default"/>
              <w:jc w:val="center"/>
              <w:rPr>
                <w:sz w:val="22"/>
                <w:szCs w:val="22"/>
              </w:rPr>
            </w:pPr>
          </w:p>
        </w:tc>
        <w:tc>
          <w:tcPr>
            <w:tcW w:w="290" w:type="pct"/>
            <w:tcBorders>
              <w:top w:val="single" w:sz="4" w:space="0" w:color="auto"/>
              <w:left w:val="nil"/>
              <w:bottom w:val="single" w:sz="4" w:space="0" w:color="auto"/>
              <w:right w:val="nil"/>
            </w:tcBorders>
            <w:vAlign w:val="center"/>
          </w:tcPr>
          <w:p w:rsidR="007F0CB9" w:rsidRPr="00743981" w:rsidRDefault="000116F5" w:rsidP="00A44E3D">
            <w:pPr>
              <w:pStyle w:val="Default"/>
              <w:jc w:val="right"/>
              <w:rPr>
                <w:sz w:val="22"/>
                <w:szCs w:val="22"/>
              </w:rPr>
            </w:pPr>
            <w:r>
              <w:rPr>
                <w:rFonts w:ascii="Calibri" w:hAnsi="Calibri" w:cs="Calibri"/>
                <w:b/>
                <w:bCs/>
                <w:color w:val="333399"/>
              </w:rPr>
              <w:t>14.25</w:t>
            </w:r>
            <w:bookmarkStart w:id="0" w:name="_GoBack"/>
            <w:bookmarkEnd w:id="0"/>
            <w:r w:rsidR="003A5C3C">
              <w:rPr>
                <w:sz w:val="22"/>
                <w:szCs w:val="22"/>
              </w:rPr>
              <w:t>/20</w:t>
            </w:r>
          </w:p>
        </w:tc>
      </w:tr>
    </w:tbl>
    <w:p w:rsidR="00B676C3" w:rsidRDefault="000116F5"/>
    <w:sectPr w:rsidR="00B676C3" w:rsidSect="00743981">
      <w:pgSz w:w="16839" w:h="23814"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0297"/>
    <w:multiLevelType w:val="hybridMultilevel"/>
    <w:tmpl w:val="82429F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E4B2DE1"/>
    <w:multiLevelType w:val="hybridMultilevel"/>
    <w:tmpl w:val="82429F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A8F1ACB"/>
    <w:multiLevelType w:val="hybridMultilevel"/>
    <w:tmpl w:val="3AF67A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981"/>
    <w:rsid w:val="000116F5"/>
    <w:rsid w:val="00165EFA"/>
    <w:rsid w:val="00321322"/>
    <w:rsid w:val="003A0629"/>
    <w:rsid w:val="003A5C3C"/>
    <w:rsid w:val="004D710F"/>
    <w:rsid w:val="004F5088"/>
    <w:rsid w:val="00642B82"/>
    <w:rsid w:val="00743981"/>
    <w:rsid w:val="00763DA2"/>
    <w:rsid w:val="007F0CB9"/>
    <w:rsid w:val="00A44E3D"/>
    <w:rsid w:val="00CA7C70"/>
    <w:rsid w:val="00E548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629"/>
    <w:pPr>
      <w:spacing w:after="12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763DA2"/>
    <w:rPr>
      <w:rFonts w:ascii="Consolas" w:hAnsi="Consolas"/>
      <w:b/>
      <w:sz w:val="19"/>
    </w:rPr>
  </w:style>
  <w:style w:type="paragraph" w:customStyle="1" w:styleId="Default">
    <w:name w:val="Default"/>
    <w:rsid w:val="0074398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5E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629"/>
    <w:pPr>
      <w:spacing w:after="12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763DA2"/>
    <w:rPr>
      <w:rFonts w:ascii="Consolas" w:hAnsi="Consolas"/>
      <w:b/>
      <w:sz w:val="19"/>
    </w:rPr>
  </w:style>
  <w:style w:type="paragraph" w:customStyle="1" w:styleId="Default">
    <w:name w:val="Default"/>
    <w:rsid w:val="0074398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Buckingham</dc:creator>
  <cp:lastModifiedBy>Lawrence Buckingham</cp:lastModifiedBy>
  <cp:revision>6</cp:revision>
  <dcterms:created xsi:type="dcterms:W3CDTF">2014-04-19T04:23:00Z</dcterms:created>
  <dcterms:modified xsi:type="dcterms:W3CDTF">2014-05-07T00:05:00Z</dcterms:modified>
</cp:coreProperties>
</file>