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107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088"/>
        <w:gridCol w:w="1120"/>
        <w:gridCol w:w="1242"/>
        <w:gridCol w:w="2570"/>
        <w:gridCol w:w="691"/>
        <w:gridCol w:w="812"/>
        <w:gridCol w:w="2413"/>
      </w:tblGrid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Comments</w:t>
            </w:r>
            <w:proofErr w:type="spellEnd"/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106913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17602B" w:rsidRPr="0017602B" w:rsidRDefault="0017602B" w:rsidP="00060248"/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A56F4D" w:rsidRPr="00A56F4D" w:rsidRDefault="00A56F4D" w:rsidP="00A56F4D">
      <w:pPr>
        <w:pStyle w:val="2"/>
      </w:pPr>
      <w:r>
        <w:t>Импорт 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861995" w:rsidRDefault="00861995" w:rsidP="00861995">
      <w:pPr>
        <w:pStyle w:val="3"/>
      </w:pPr>
      <w:hyperlink r:id="rId13" w:anchor="note-9" w:history="1">
        <w:r w:rsidRPr="00861995">
          <w:rPr>
            <w:rStyle w:val="ad"/>
          </w:rPr>
          <w:t>Неоднозначные начисления</w:t>
        </w:r>
      </w:hyperlink>
    </w:p>
    <w:p w:rsidR="00861995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  <w:t>Планирую сделать привязку этих начислений к открывающемуся соглашению.</w:t>
      </w:r>
    </w:p>
    <w:p w:rsidR="00861995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1D1D7A" w:rsidRDefault="007B3254" w:rsidP="007B3254">
      <w:pPr>
        <w:pStyle w:val="1"/>
      </w:pPr>
      <w:r>
        <w:t>Открытые 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A07ACA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</w:p>
    <w:p w:rsidR="00A07ACA" w:rsidRPr="00F56F45" w:rsidRDefault="00A07ACA" w:rsidP="007B3254">
      <w:pPr>
        <w:pStyle w:val="a8"/>
        <w:numPr>
          <w:ilvl w:val="0"/>
          <w:numId w:val="3"/>
        </w:numPr>
        <w:rPr>
          <w:lang w:val="en-US"/>
        </w:rPr>
      </w:pPr>
      <w:r>
        <w:t>5 схема: переход и открытие счета</w:t>
      </w:r>
    </w:p>
    <w:sectPr w:rsidR="00A07ACA" w:rsidRPr="00F56F4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F93" w:rsidRDefault="00973F93" w:rsidP="004A3862">
      <w:pPr>
        <w:spacing w:after="0" w:line="240" w:lineRule="auto"/>
      </w:pPr>
      <w:r>
        <w:separator/>
      </w:r>
    </w:p>
  </w:endnote>
  <w:endnote w:type="continuationSeparator" w:id="0">
    <w:p w:rsidR="00973F93" w:rsidRDefault="00973F93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A07ACA" w:rsidRDefault="00A07ACA">
        <w:pPr>
          <w:pStyle w:val="ab"/>
          <w:jc w:val="right"/>
        </w:pPr>
        <w:fldSimple w:instr=" PAGE   \* MERGEFORMAT ">
          <w:r w:rsidR="001D6D12">
            <w:rPr>
              <w:noProof/>
            </w:rPr>
            <w:t>12</w:t>
          </w:r>
        </w:fldSimple>
      </w:p>
    </w:sdtContent>
  </w:sdt>
  <w:p w:rsidR="00A07ACA" w:rsidRDefault="00A07ACA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F93" w:rsidRDefault="00973F93" w:rsidP="004A3862">
      <w:pPr>
        <w:spacing w:after="0" w:line="240" w:lineRule="auto"/>
      </w:pPr>
      <w:r>
        <w:separator/>
      </w:r>
    </w:p>
  </w:footnote>
  <w:footnote w:type="continuationSeparator" w:id="0">
    <w:p w:rsidR="00973F93" w:rsidRDefault="00973F93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266DAE"/>
    <w:rsid w:val="0030795C"/>
    <w:rsid w:val="00392577"/>
    <w:rsid w:val="00407218"/>
    <w:rsid w:val="004273DA"/>
    <w:rsid w:val="00431373"/>
    <w:rsid w:val="00472E20"/>
    <w:rsid w:val="00473C05"/>
    <w:rsid w:val="00484AD7"/>
    <w:rsid w:val="004965A5"/>
    <w:rsid w:val="004A3862"/>
    <w:rsid w:val="004A57EB"/>
    <w:rsid w:val="004A7AD4"/>
    <w:rsid w:val="004D0A47"/>
    <w:rsid w:val="004D1E97"/>
    <w:rsid w:val="004E4910"/>
    <w:rsid w:val="004F5F0C"/>
    <w:rsid w:val="005D4188"/>
    <w:rsid w:val="00633F11"/>
    <w:rsid w:val="006876FB"/>
    <w:rsid w:val="00691091"/>
    <w:rsid w:val="00694635"/>
    <w:rsid w:val="0070628E"/>
    <w:rsid w:val="00723DB4"/>
    <w:rsid w:val="007B3254"/>
    <w:rsid w:val="007F07C4"/>
    <w:rsid w:val="00827885"/>
    <w:rsid w:val="00861995"/>
    <w:rsid w:val="0087286A"/>
    <w:rsid w:val="00880877"/>
    <w:rsid w:val="00880FF8"/>
    <w:rsid w:val="0089679B"/>
    <w:rsid w:val="008C7EA8"/>
    <w:rsid w:val="00906888"/>
    <w:rsid w:val="0092113A"/>
    <w:rsid w:val="00931F38"/>
    <w:rsid w:val="00933D81"/>
    <w:rsid w:val="00973F93"/>
    <w:rsid w:val="009E7784"/>
    <w:rsid w:val="009F0841"/>
    <w:rsid w:val="00A07ACA"/>
    <w:rsid w:val="00A22EA0"/>
    <w:rsid w:val="00A416E5"/>
    <w:rsid w:val="00A56F4D"/>
    <w:rsid w:val="00AA3C51"/>
    <w:rsid w:val="00AB1107"/>
    <w:rsid w:val="00AB4DB5"/>
    <w:rsid w:val="00AC7D89"/>
    <w:rsid w:val="00B4031B"/>
    <w:rsid w:val="00BA0B02"/>
    <w:rsid w:val="00C25F49"/>
    <w:rsid w:val="00C608B2"/>
    <w:rsid w:val="00C64111"/>
    <w:rsid w:val="00CA5F49"/>
    <w:rsid w:val="00CC0725"/>
    <w:rsid w:val="00CC4F14"/>
    <w:rsid w:val="00D0367B"/>
    <w:rsid w:val="00D34F70"/>
    <w:rsid w:val="00D721FA"/>
    <w:rsid w:val="00D75181"/>
    <w:rsid w:val="00D961FE"/>
    <w:rsid w:val="00DA2B6D"/>
    <w:rsid w:val="00DD66B5"/>
    <w:rsid w:val="00E35B09"/>
    <w:rsid w:val="00E37173"/>
    <w:rsid w:val="00E53EDB"/>
    <w:rsid w:val="00E80193"/>
    <w:rsid w:val="00EE1B65"/>
    <w:rsid w:val="00EF7916"/>
    <w:rsid w:val="00F01DC3"/>
    <w:rsid w:val="00F20596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8425A-B225-492A-8726-0879823B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15321</TotalTime>
  <Pages>12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34</cp:revision>
  <cp:lastPrinted>2018-07-17T10:25:00Z</cp:lastPrinted>
  <dcterms:created xsi:type="dcterms:W3CDTF">2018-07-13T11:07:00Z</dcterms:created>
  <dcterms:modified xsi:type="dcterms:W3CDTF">2018-07-26T07:42:00Z</dcterms:modified>
</cp:coreProperties>
</file>