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797B5">
      <w:pPr>
        <w:spacing w:before="240" w:after="240"/>
        <w:jc w:val="left"/>
      </w:pPr>
      <w:r>
        <w:rPr>
          <w:rFonts w:ascii="黑体" w:hAnsi="黑体" w:eastAsia="黑体"/>
          <w:b/>
          <w:sz w:val="32"/>
        </w:rPr>
        <w:t>一、实验目的及要求</w:t>
      </w:r>
    </w:p>
    <w:p w14:paraId="4EB291EC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本实验旨在设计并实现一个基于自然语言处理技术的智能问答系统，综合运用文本检索、语义匹配、中文分词、知识图谱等技术，构建一个具备在线与离线双模式的法律问答平台。具体要求如下：</w:t>
      </w:r>
    </w:p>
    <w:p w14:paraId="7DAA97DA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1. 在线模式：接入DeepSeek大语言模型API，实现智能对话、多轮上下文管理与流式输出。</w:t>
      </w:r>
    </w:p>
    <w:p w14:paraId="6066DD48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2. 离线模式：基于知识图谱与TF-IDF语义匹配，实现本地法律问答与中文数学表达式计算，无需网络即可运行。</w:t>
      </w:r>
    </w:p>
    <w:p w14:paraId="6000FC49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3. 两阶段检索（RAG）：结合律师咨询回答与官方法条原文，提供既通俗易懂又具有法律权威性的回答。</w:t>
      </w:r>
    </w:p>
    <w:p w14:paraId="25D6EC78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4. 用户界面：提供Web聊天界面，支持语音输入、多会话管理、在线/离线模式切换等功能。</w:t>
      </w:r>
    </w:p>
    <w:p w14:paraId="4E7E3F75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5. 数据持久化：使用SQLite数据库实现会话与消息的持久化存储。</w:t>
      </w:r>
    </w:p>
    <w:p w14:paraId="362A201C">
      <w:pPr>
        <w:spacing w:before="240" w:after="240"/>
        <w:jc w:val="left"/>
      </w:pPr>
      <w:r>
        <w:rPr>
          <w:rFonts w:ascii="黑体" w:hAnsi="黑体" w:eastAsia="黑体"/>
          <w:b/>
          <w:sz w:val="32"/>
        </w:rPr>
        <w:t>二、实验原理分析</w:t>
      </w:r>
    </w:p>
    <w:p w14:paraId="2E3D25ED">
      <w:pPr>
        <w:spacing w:before="120" w:after="120"/>
        <w:jc w:val="left"/>
      </w:pPr>
      <w:r>
        <w:rPr>
          <w:rFonts w:ascii="黑体" w:hAnsi="黑体" w:eastAsia="黑体"/>
          <w:b/>
          <w:sz w:val="28"/>
        </w:rPr>
        <w:t>2.1 知识图谱与权重匹配</w:t>
      </w:r>
    </w:p>
    <w:p w14:paraId="7C6E5006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知识图谱是一种以图结构表示知识的技术，由实体（节点）和关系（边）组成。本实验构建的法律知识图谱中，每条法律知识对应一个关键词-权重映射，权重分配策略如下：</w:t>
      </w:r>
    </w:p>
    <w:p w14:paraId="3C2D5E94">
      <w:pPr>
        <w:spacing w:before="120" w:after="120"/>
        <w:jc w:val="center"/>
      </w:pPr>
      <w:r>
        <w:rPr>
          <w:rFonts w:eastAsia="宋体"/>
          <w:sz w:val="20"/>
        </w:rPr>
        <w:t>表2.1  知识图谱关键词权重分配策略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EF68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A12336">
            <w:pPr>
              <w:spacing w:after="0"/>
              <w:jc w:val="center"/>
            </w:pPr>
            <w:r>
              <w:rPr>
                <w:b/>
                <w:sz w:val="20"/>
              </w:rPr>
              <w:t>关键词来源</w:t>
            </w:r>
          </w:p>
        </w:tc>
        <w:tc>
          <w:tcPr>
            <w:tcW w:w="2880" w:type="dxa"/>
          </w:tcPr>
          <w:p w14:paraId="33764677">
            <w:pPr>
              <w:spacing w:after="0"/>
              <w:jc w:val="center"/>
            </w:pPr>
            <w:r>
              <w:rPr>
                <w:b/>
                <w:sz w:val="20"/>
              </w:rPr>
              <w:t>权重</w:t>
            </w:r>
          </w:p>
        </w:tc>
        <w:tc>
          <w:tcPr>
            <w:tcW w:w="2880" w:type="dxa"/>
          </w:tcPr>
          <w:p w14:paraId="6FFA7640">
            <w:pPr>
              <w:spacing w:after="0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0A7B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3B68AD">
            <w:pPr>
              <w:spacing w:after="0"/>
            </w:pPr>
            <w:r>
              <w:rPr>
                <w:sz w:val="20"/>
              </w:rPr>
              <w:t>问题关键词</w:t>
            </w:r>
          </w:p>
        </w:tc>
        <w:tc>
          <w:tcPr>
            <w:tcW w:w="2880" w:type="dxa"/>
          </w:tcPr>
          <w:p w14:paraId="2CFF4A06">
            <w:pPr>
              <w:spacing w:after="0"/>
            </w:pPr>
            <w:r>
              <w:rPr>
                <w:sz w:val="20"/>
              </w:rPr>
              <w:t>3.0</w:t>
            </w:r>
          </w:p>
        </w:tc>
        <w:tc>
          <w:tcPr>
            <w:tcW w:w="2880" w:type="dxa"/>
          </w:tcPr>
          <w:p w14:paraId="7D4C355F">
            <w:pPr>
              <w:spacing w:after="0"/>
            </w:pPr>
            <w:r>
              <w:rPr>
                <w:sz w:val="20"/>
              </w:rPr>
              <w:t>直接反映用户查询意图，权重最高</w:t>
            </w:r>
          </w:p>
        </w:tc>
      </w:tr>
      <w:tr w14:paraId="58EB7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F733D6">
            <w:pPr>
              <w:spacing w:after="0"/>
            </w:pPr>
            <w:r>
              <w:rPr>
                <w:sz w:val="20"/>
              </w:rPr>
              <w:t>同义词扩展</w:t>
            </w:r>
          </w:p>
        </w:tc>
        <w:tc>
          <w:tcPr>
            <w:tcW w:w="2880" w:type="dxa"/>
          </w:tcPr>
          <w:p w14:paraId="1134D476">
            <w:pPr>
              <w:spacing w:after="0"/>
            </w:pPr>
            <w:r>
              <w:rPr>
                <w:sz w:val="20"/>
              </w:rPr>
              <w:t>2.5</w:t>
            </w:r>
          </w:p>
        </w:tc>
        <w:tc>
          <w:tcPr>
            <w:tcW w:w="2880" w:type="dxa"/>
          </w:tcPr>
          <w:p w14:paraId="109FE3CA">
            <w:pPr>
              <w:spacing w:after="0"/>
            </w:pPr>
            <w:r>
              <w:rPr>
                <w:sz w:val="20"/>
              </w:rPr>
              <w:t>扩展查询覆盖范围，如'酒驾'→'饮酒驾驶'</w:t>
            </w:r>
          </w:p>
        </w:tc>
      </w:tr>
      <w:tr w14:paraId="15775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1C0FB8">
            <w:pPr>
              <w:spacing w:after="0"/>
            </w:pPr>
            <w:r>
              <w:rPr>
                <w:sz w:val="20"/>
              </w:rPr>
              <w:t>答案关键词</w:t>
            </w:r>
          </w:p>
        </w:tc>
        <w:tc>
          <w:tcPr>
            <w:tcW w:w="2880" w:type="dxa"/>
          </w:tcPr>
          <w:p w14:paraId="1A0C1B0C">
            <w:pPr>
              <w:spacing w:after="0"/>
            </w:pPr>
            <w:r>
              <w:rPr>
                <w:sz w:val="20"/>
              </w:rPr>
              <w:t>0.3</w:t>
            </w:r>
          </w:p>
        </w:tc>
        <w:tc>
          <w:tcPr>
            <w:tcW w:w="2880" w:type="dxa"/>
          </w:tcPr>
          <w:p w14:paraId="6FB3BB73">
            <w:pPr>
              <w:spacing w:after="0"/>
            </w:pPr>
            <w:r>
              <w:rPr>
                <w:sz w:val="20"/>
              </w:rPr>
              <w:t>辅助匹配，权重较低避免噪声</w:t>
            </w:r>
          </w:p>
        </w:tc>
      </w:tr>
    </w:tbl>
    <w:p w14:paraId="28DAAAA8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匹配时，查询关键词与图谱节点进行加权匹配，综合计算覆盖率和命中密度，得到最终匹配得分。公式如下：</w:t>
      </w:r>
      <w:bookmarkStart w:id="0" w:name="_GoBack"/>
      <w:bookmarkEnd w:id="0"/>
    </w:p>
    <w:p w14:paraId="5090F4F5">
      <w:pPr>
        <w:spacing w:line="240" w:lineRule="auto"/>
        <w:ind w:left="567"/>
      </w:pPr>
      <m:oMathPara>
        <m:oMath>
          <m:r>
            <m:rPr/>
            <w:rPr>
              <w:rFonts w:hint="default" w:ascii="Cambria Math" w:hAnsi="Cambria Math"/>
              <w:sz w:val="18"/>
            </w:rPr>
            <m:t>Score=Σ(k</m:t>
          </m:r>
          <m:sSub>
            <m:sSubPr>
              <m:ctrlPr>
                <w:rPr>
                  <w:rFonts w:hint="default" w:ascii="Cambria Math" w:hAnsi="Cambria Math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18"/>
                </w:rPr>
                <m:t>w</m:t>
              </m:r>
              <m:ctrlPr>
                <w:rPr>
                  <w:rFonts w:ascii="Cambria Math" w:hAnsi="Cambria Math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18"/>
                </w:rPr>
                <m:t>weight</m:t>
              </m:r>
              <m:ctrlPr>
                <w:rPr>
                  <w:rFonts w:ascii="Cambria Math" w:hAnsi="Cambria Math"/>
                  <w:sz w:val="18"/>
                </w:rPr>
              </m:ctrlPr>
            </m:sub>
          </m:sSub>
          <m:r>
            <m:rPr/>
            <w:rPr>
              <w:rFonts w:hint="default" w:ascii="Cambria Math" w:hAnsi="Cambria Math"/>
              <w:sz w:val="18"/>
            </w:rPr>
            <m:t>×</m:t>
          </m:r>
          <m:sSub>
            <m:sSubPr>
              <m:ctrlPr>
                <w:rPr>
                  <w:rFonts w:hint="default" w:ascii="Cambria Math" w:hAnsi="Cambria Math"/>
                  <w:sz w:val="1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18"/>
                </w:rPr>
                <m:t>q</m:t>
              </m:r>
              <m:ctrlPr>
                <w:rPr>
                  <w:rFonts w:ascii="Cambria Math" w:hAnsi="Cambria Math"/>
                  <w:sz w:val="1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18"/>
                </w:rPr>
                <m:t>weight</m:t>
              </m:r>
              <m:ctrlPr>
                <w:rPr>
                  <w:rFonts w:ascii="Cambria Math" w:hAnsi="Cambria Math"/>
                  <w:sz w:val="18"/>
                </w:rPr>
              </m:ctrlPr>
            </m:sub>
          </m:sSub>
          <m:r>
            <m:rPr/>
            <w:rPr>
              <w:rFonts w:hint="default" w:ascii="Cambria Math" w:hAnsi="Cambria Math"/>
              <w:sz w:val="18"/>
            </w:rPr>
            <m:t>)×(0.6×Coverage+0.4×min(Density×5,1.0))</m:t>
          </m:r>
        </m:oMath>
      </m:oMathPara>
    </w:p>
    <w:p w14:paraId="366B757A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其中Coverage为查询关键词的覆盖率，Density为匹配关键词占文档关键词的比例。</w:t>
      </w:r>
    </w:p>
    <w:p w14:paraId="436AB16E">
      <w:pPr>
        <w:spacing w:before="120" w:after="120"/>
        <w:jc w:val="left"/>
      </w:pPr>
      <w:r>
        <w:rPr>
          <w:rFonts w:ascii="黑体" w:hAnsi="黑体" w:eastAsia="黑体"/>
          <w:b/>
          <w:sz w:val="28"/>
        </w:rPr>
        <w:t>2.2 两阶段检索（RAG）</w:t>
      </w:r>
    </w:p>
    <w:p w14:paraId="49670180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检索增强生成（Retrieval-Augmented Generation, RAG）是一种将信息检索与文本生成相结合的技术。本实验在离线模式下实现了简化版RAG：</w:t>
      </w:r>
    </w:p>
    <w:p w14:paraId="34860642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阶段1：咨询回答匹配。使用知识图谱检索与用户问题最相关的律师咨询回答。</w:t>
      </w:r>
    </w:p>
    <w:p w14:paraId="6FDE77A1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阶段2：法条引用。从咨询回答中提取法律名称（如《道路交通安全法》），利用法条索引在该法律的条文集合中搜索相关法条，通过关键词匹配排序选取最相关的法条。</w:t>
      </w:r>
    </w:p>
    <w:p w14:paraId="12564812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最终将咨询回答与法条引用组合输出，既保证了回答的通俗易懂，又提供了权威的法律依据。</w:t>
      </w:r>
    </w:p>
    <w:p w14:paraId="67CE4B4C">
      <w:pPr>
        <w:spacing w:before="120" w:after="120"/>
        <w:jc w:val="left"/>
      </w:pPr>
      <w:r>
        <w:rPr>
          <w:rFonts w:ascii="黑体" w:hAnsi="黑体" w:eastAsia="黑体"/>
          <w:b/>
          <w:sz w:val="28"/>
        </w:rPr>
        <w:t>2.3 中文分词与同义词扩展</w:t>
      </w:r>
    </w:p>
    <w:p w14:paraId="5E0CA548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中文文本不同于英文，词与词之间没有天然的分隔符，因此需要分词技术。本实验使用jieba分词库进行中文分词，并在此基础上构建了同义词扩展机制。</w:t>
      </w:r>
    </w:p>
    <w:p w14:paraId="0E230429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同义词映射覆盖40+组法律领域词汇，例如：'酒驾'映射到['饮酒驾驶', '酒后驾驶', '喝酒开车']，'故意伤害'映射到['蓄意伤人', '故意伤人', '蓄意伤害']。查询时，先对用户输入进行同义词替换，再进行分词和关键词提取，从而提高语义匹配的召回率。</w:t>
      </w:r>
    </w:p>
    <w:p w14:paraId="67DBCFAE">
      <w:pPr>
        <w:spacing w:before="120" w:after="120"/>
        <w:jc w:val="left"/>
      </w:pPr>
      <w:r>
        <w:rPr>
          <w:rFonts w:ascii="黑体" w:hAnsi="黑体" w:eastAsia="黑体"/>
          <w:b/>
          <w:sz w:val="28"/>
        </w:rPr>
        <w:t>2.4 中文数学表达式解析</w:t>
      </w:r>
    </w:p>
    <w:p w14:paraId="432960AA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中文数学表达式的解析涉及两个核心问题：中文数字转换和运算符识别。本实验实现了完整的中文数字到阿拉伯数字的转换，支持零到万的中文数字组合，以及加、减、乘、除、幂次等运算符的识别与转换。</w:t>
      </w:r>
    </w:p>
    <w:p w14:paraId="6949B61D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转换流程：幂次转换（'的二次方'→'**2'）→ 中文数字转换（'十五'→'15'）→ 运算符转换（'加'→'+'）。转换后的表达式通过安全的eval函数计算结果。</w:t>
      </w:r>
    </w:p>
    <w:p w14:paraId="750B4534">
      <w:pPr>
        <w:spacing w:before="120" w:after="120"/>
        <w:jc w:val="left"/>
      </w:pPr>
      <w:r>
        <w:rPr>
          <w:rFonts w:ascii="黑体" w:hAnsi="黑体" w:eastAsia="黑体"/>
          <w:b/>
          <w:sz w:val="28"/>
        </w:rPr>
        <w:t>2.5 TF-IDF语义匹配</w:t>
      </w:r>
    </w:p>
    <w:p w14:paraId="2F3FCD95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TF-IDF（Term Frequency-Inverse Document Frequency）是一种经典的文本语义匹配算法，通过计算词频与逆文档频率的乘积来衡量词语对文档的区分度。本实验在知识图谱构建阶段，利用TF-IDF思想对关键词进行权重分配，问题关键词权重高、答案关键词权重低，通用词（如'怎么'、'处罚'）降权处理，从而突出领域关键词的匹配贡献。</w:t>
      </w:r>
    </w:p>
    <w:p w14:paraId="06D3F664">
      <w:pPr>
        <w:spacing w:before="240" w:after="240"/>
        <w:jc w:val="left"/>
      </w:pPr>
      <w:r>
        <w:rPr>
          <w:rFonts w:ascii="黑体" w:hAnsi="黑体" w:eastAsia="黑体"/>
          <w:b/>
          <w:sz w:val="32"/>
        </w:rPr>
        <w:t>三、程序设计流程框图</w:t>
      </w:r>
    </w:p>
    <w:p w14:paraId="0ECB4A5D">
      <w:pPr>
        <w:spacing w:before="120" w:after="120"/>
        <w:jc w:val="left"/>
      </w:pPr>
      <w:r>
        <w:rPr>
          <w:rFonts w:ascii="黑体" w:hAnsi="黑体" w:eastAsia="黑体"/>
          <w:b/>
          <w:sz w:val="28"/>
        </w:rPr>
        <w:t>3.1 系统整体架构</w:t>
      </w:r>
    </w:p>
    <w:p w14:paraId="24F0C52F">
      <w:pPr>
        <w:spacing w:line="360" w:lineRule="auto"/>
        <w:ind w:firstLine="425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系统采用前后端分离架构，后端使用Flask框架提供API服务，前端使用HTML/CSS/JS构建交互界面。整体架构如下：</w:t>
      </w:r>
    </w:p>
    <w:p w14:paraId="3458FC23">
      <w:pPr>
        <w:spacing w:line="240" w:lineRule="auto"/>
        <w:ind w:left="567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┌──────────────────────────────────────────────┐</w:t>
      </w:r>
    </w:p>
    <w:p w14:paraId="0F1BDB4E">
      <w:pPr>
        <w:spacing w:line="240" w:lineRule="auto"/>
        <w:ind w:left="567"/>
      </w:pPr>
      <w:r>
        <w:rPr>
          <w:rFonts w:ascii="Consolas" w:hAnsi="Consolas"/>
          <w:sz w:val="18"/>
        </w:rPr>
        <w:t>│              前端界面 (HTML/CSS/JS)           │</w:t>
      </w:r>
    </w:p>
    <w:p w14:paraId="1B187769">
      <w:pPr>
        <w:spacing w:line="240" w:lineRule="auto"/>
        <w:ind w:left="567"/>
      </w:pPr>
      <w:r>
        <w:rPr>
          <w:rFonts w:ascii="Consolas" w:hAnsi="Consolas"/>
          <w:sz w:val="18"/>
        </w:rPr>
        <w:t xml:space="preserve">│   聊天界面  │  会话管理  │  模式切换/语音     </w:t>
      </w:r>
      <w:r>
        <w:rPr>
          <w:rFonts w:hint="eastAsia" w:ascii="Consolas" w:hAnsi="Consolas"/>
          <w:sz w:val="18"/>
          <w:lang w:val="en-US" w:eastAsia="zh-CN"/>
        </w:rPr>
        <w:t xml:space="preserve">  </w:t>
      </w:r>
      <w:r>
        <w:rPr>
          <w:rFonts w:ascii="Consolas" w:hAnsi="Consolas"/>
          <w:sz w:val="18"/>
        </w:rPr>
        <w:t>│</w:t>
      </w:r>
    </w:p>
    <w:p w14:paraId="366E2F08">
      <w:pPr>
        <w:spacing w:line="240" w:lineRule="auto"/>
        <w:ind w:left="567"/>
      </w:pPr>
      <w:r>
        <w:rPr>
          <w:rFonts w:ascii="Consolas" w:hAnsi="Consolas"/>
          <w:sz w:val="18"/>
        </w:rPr>
        <w:t>└──────────────────┬───────────────────────────┘</w:t>
      </w:r>
    </w:p>
    <w:p w14:paraId="7FC8E106">
      <w:pPr>
        <w:spacing w:line="240" w:lineRule="auto"/>
        <w:ind w:left="567"/>
      </w:pPr>
      <w:r>
        <w:rPr>
          <w:rFonts w:ascii="Consolas" w:hAnsi="Consolas"/>
          <w:sz w:val="18"/>
        </w:rPr>
        <w:t xml:space="preserve">                   ▼</w:t>
      </w:r>
    </w:p>
    <w:p w14:paraId="3677CEEE">
      <w:pPr>
        <w:spacing w:line="240" w:lineRule="auto"/>
        <w:ind w:left="567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┌──────────────────────────────────────────────┐</w:t>
      </w:r>
    </w:p>
    <w:p w14:paraId="75EF6461">
      <w:pPr>
        <w:spacing w:line="240" w:lineRule="auto"/>
        <w:ind w:left="567"/>
      </w:pPr>
      <w:r>
        <w:rPr>
          <w:rFonts w:ascii="Consolas" w:hAnsi="Consolas"/>
          <w:sz w:val="18"/>
        </w:rPr>
        <w:t>│              Flask 后端 (Python)             │</w:t>
      </w:r>
    </w:p>
    <w:p w14:paraId="422B5A97">
      <w:pPr>
        <w:spacing w:line="240" w:lineRule="auto"/>
        <w:ind w:left="567"/>
      </w:pPr>
      <w:r>
        <w:rPr>
          <w:rFonts w:ascii="Consolas" w:hAnsi="Consolas"/>
          <w:sz w:val="18"/>
        </w:rPr>
        <w:t>│   API路由   │  会话管理   │  模式调度         │</w:t>
      </w:r>
    </w:p>
    <w:p w14:paraId="6D041796">
      <w:pPr>
        <w:spacing w:line="240" w:lineRule="auto"/>
        <w:ind w:left="567"/>
      </w:pPr>
      <w:r>
        <w:rPr>
          <w:rFonts w:ascii="Consolas" w:hAnsi="Consolas"/>
          <w:sz w:val="18"/>
        </w:rPr>
        <w:t>└──────┬───────────────────────────┬───────────┘</w:t>
      </w:r>
    </w:p>
    <w:p w14:paraId="728E5ACE">
      <w:pPr>
        <w:spacing w:line="240" w:lineRule="auto"/>
        <w:ind w:left="567"/>
      </w:pPr>
      <w:r>
        <w:rPr>
          <w:rFonts w:ascii="Consolas" w:hAnsi="Consolas"/>
          <w:sz w:val="18"/>
        </w:rPr>
        <w:t xml:space="preserve">       ▼                           ▼</w:t>
      </w:r>
    </w:p>
    <w:p w14:paraId="536EACCF">
      <w:pPr>
        <w:spacing w:line="240" w:lineRule="auto"/>
        <w:ind w:left="567"/>
      </w:pPr>
      <w:r>
        <w:rPr>
          <w:rFonts w:ascii="Consolas" w:hAnsi="Consolas"/>
          <w:sz w:val="18"/>
        </w:rPr>
        <w:t>┌──────────────────┐    ┌──────────────────────┐</w:t>
      </w:r>
    </w:p>
    <w:p w14:paraId="29EF1283">
      <w:pPr>
        <w:spacing w:line="240" w:lineRule="auto"/>
        <w:ind w:left="567"/>
      </w:pPr>
      <w:r>
        <w:rPr>
          <w:rFonts w:ascii="Consolas" w:hAnsi="Consolas"/>
          <w:sz w:val="18"/>
        </w:rPr>
        <w:t>│   在线模式       │    │   离线模式           │</w:t>
      </w:r>
    </w:p>
    <w:p w14:paraId="08DA22DC">
      <w:pPr>
        <w:spacing w:line="240" w:lineRule="auto"/>
        <w:ind w:left="567"/>
      </w:pPr>
      <w:r>
        <w:rPr>
          <w:rFonts w:ascii="Consolas" w:hAnsi="Consolas"/>
          <w:sz w:val="18"/>
        </w:rPr>
        <w:t>│  DeepSeek API    │    │  知识图谱检索        │</w:t>
      </w:r>
    </w:p>
    <w:p w14:paraId="127D7616">
      <w:pPr>
        <w:spacing w:line="240" w:lineRule="auto"/>
        <w:ind w:left="567"/>
      </w:pPr>
      <w:r>
        <w:rPr>
          <w:rFonts w:ascii="Consolas" w:hAnsi="Consolas"/>
          <w:sz w:val="18"/>
        </w:rPr>
        <w:t>│  (流式输出)      │    │  中文数学解析        │</w:t>
      </w:r>
    </w:p>
    <w:p w14:paraId="1A0154D2">
      <w:pPr>
        <w:spacing w:line="240" w:lineRule="auto"/>
        <w:ind w:left="567"/>
      </w:pPr>
      <w:r>
        <w:rPr>
          <w:rFonts w:ascii="Consolas" w:hAnsi="Consolas"/>
          <w:sz w:val="18"/>
        </w:rPr>
        <w:t>│                  │    │  法条引用(RAG)       │</w:t>
      </w:r>
    </w:p>
    <w:p w14:paraId="64724A29">
      <w:pPr>
        <w:spacing w:line="240" w:lineRule="auto"/>
        <w:ind w:left="567"/>
      </w:pPr>
      <w:r>
        <w:rPr>
          <w:rFonts w:ascii="Consolas" w:hAnsi="Consolas"/>
          <w:sz w:val="18"/>
        </w:rPr>
        <w:t>└──────────────────┘    └──────────────────────┘</w:t>
      </w:r>
    </w:p>
    <w:p w14:paraId="7463D738">
      <w:pPr>
        <w:spacing w:before="120" w:after="120"/>
        <w:jc w:val="left"/>
      </w:pPr>
      <w:r>
        <w:rPr>
          <w:rFonts w:ascii="黑体" w:hAnsi="黑体" w:eastAsia="黑体"/>
          <w:b/>
          <w:sz w:val="28"/>
        </w:rPr>
        <w:t>3.2 模块划分</w:t>
      </w:r>
    </w:p>
    <w:p w14:paraId="2E5C9CAA">
      <w:pPr>
        <w:spacing w:before="120" w:after="120"/>
        <w:jc w:val="center"/>
      </w:pPr>
      <w:r>
        <w:rPr>
          <w:rFonts w:eastAsia="宋体"/>
          <w:sz w:val="20"/>
        </w:rPr>
        <w:t>表3.1  系统模块划分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D5A6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63F41A">
            <w:pPr>
              <w:spacing w:after="0"/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2880" w:type="dxa"/>
          </w:tcPr>
          <w:p w14:paraId="15970758">
            <w:pPr>
              <w:spacing w:after="0"/>
              <w:jc w:val="center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w="2880" w:type="dxa"/>
          </w:tcPr>
          <w:p w14:paraId="1DAFC4C3">
            <w:pPr>
              <w:spacing w:after="0"/>
              <w:jc w:val="center"/>
            </w:pPr>
            <w:r>
              <w:rPr>
                <w:b/>
                <w:sz w:val="20"/>
              </w:rPr>
              <w:t>功能说明</w:t>
            </w:r>
          </w:p>
        </w:tc>
      </w:tr>
      <w:tr w14:paraId="0E69A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674E0F">
            <w:pPr>
              <w:spacing w:after="0"/>
            </w:pPr>
            <w:r>
              <w:rPr>
                <w:sz w:val="20"/>
              </w:rPr>
              <w:t>配置管理</w:t>
            </w:r>
          </w:p>
        </w:tc>
        <w:tc>
          <w:tcPr>
            <w:tcW w:w="2880" w:type="dxa"/>
          </w:tcPr>
          <w:p w14:paraId="5CC90076">
            <w:pPr>
              <w:spacing w:after="0"/>
            </w:pPr>
            <w:r>
              <w:rPr>
                <w:sz w:val="20"/>
              </w:rPr>
              <w:t>config.py</w:t>
            </w:r>
          </w:p>
        </w:tc>
        <w:tc>
          <w:tcPr>
            <w:tcW w:w="2880" w:type="dxa"/>
          </w:tcPr>
          <w:p w14:paraId="6F03D925">
            <w:pPr>
              <w:spacing w:after="0"/>
            </w:pPr>
            <w:r>
              <w:rPr>
                <w:sz w:val="20"/>
              </w:rPr>
              <w:t>API密钥与参数配置，实现密钥与代码分离</w:t>
            </w:r>
          </w:p>
        </w:tc>
      </w:tr>
      <w:tr w14:paraId="34F63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FF7EFF">
            <w:pPr>
              <w:spacing w:after="0"/>
            </w:pPr>
            <w:r>
              <w:rPr>
                <w:sz w:val="20"/>
              </w:rPr>
              <w:t>API封装</w:t>
            </w:r>
          </w:p>
        </w:tc>
        <w:tc>
          <w:tcPr>
            <w:tcW w:w="2880" w:type="dxa"/>
          </w:tcPr>
          <w:p w14:paraId="3B82381B">
            <w:pPr>
              <w:spacing w:after="0"/>
            </w:pPr>
            <w:r>
              <w:rPr>
                <w:sz w:val="20"/>
              </w:rPr>
              <w:t>dsapi.py</w:t>
            </w:r>
          </w:p>
        </w:tc>
        <w:tc>
          <w:tcPr>
            <w:tcW w:w="2880" w:type="dxa"/>
          </w:tcPr>
          <w:p w14:paraId="4E9CD84B">
            <w:pPr>
              <w:spacing w:after="0"/>
            </w:pPr>
            <w:r>
              <w:rPr>
                <w:sz w:val="20"/>
              </w:rPr>
              <w:t>DeepSeek API调用封装，复用客户端实例</w:t>
            </w:r>
          </w:p>
        </w:tc>
      </w:tr>
      <w:tr w14:paraId="2F877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E189A1">
            <w:pPr>
              <w:spacing w:after="0"/>
            </w:pPr>
            <w:r>
              <w:rPr>
                <w:sz w:val="20"/>
              </w:rPr>
              <w:t>核心逻辑</w:t>
            </w:r>
          </w:p>
        </w:tc>
        <w:tc>
          <w:tcPr>
            <w:tcW w:w="2880" w:type="dxa"/>
          </w:tcPr>
          <w:p w14:paraId="7AAF9B5F">
            <w:pPr>
              <w:spacing w:after="0"/>
            </w:pPr>
            <w:r>
              <w:rPr>
                <w:sz w:val="20"/>
              </w:rPr>
              <w:t>qa_core.py</w:t>
            </w:r>
          </w:p>
        </w:tc>
        <w:tc>
          <w:tcPr>
            <w:tcW w:w="2880" w:type="dxa"/>
          </w:tcPr>
          <w:p w14:paraId="28974018">
            <w:pPr>
              <w:spacing w:after="0"/>
            </w:pPr>
            <w:r>
              <w:rPr>
                <w:sz w:val="20"/>
              </w:rPr>
              <w:t>会话管理、上下文构建、模式切换调度</w:t>
            </w:r>
          </w:p>
        </w:tc>
      </w:tr>
      <w:tr w14:paraId="33259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45500E5">
            <w:pPr>
              <w:spacing w:after="0"/>
            </w:pPr>
            <w:r>
              <w:rPr>
                <w:sz w:val="20"/>
              </w:rPr>
              <w:t>数据库</w:t>
            </w:r>
          </w:p>
        </w:tc>
        <w:tc>
          <w:tcPr>
            <w:tcW w:w="2880" w:type="dxa"/>
          </w:tcPr>
          <w:p w14:paraId="736B5150">
            <w:pPr>
              <w:spacing w:after="0"/>
            </w:pPr>
            <w:r>
              <w:rPr>
                <w:sz w:val="20"/>
              </w:rPr>
              <w:t>db.py</w:t>
            </w:r>
          </w:p>
        </w:tc>
        <w:tc>
          <w:tcPr>
            <w:tcW w:w="2880" w:type="dxa"/>
          </w:tcPr>
          <w:p w14:paraId="15D9428E">
            <w:pPr>
              <w:spacing w:after="0"/>
            </w:pPr>
            <w:r>
              <w:rPr>
                <w:sz w:val="20"/>
              </w:rPr>
              <w:t>SQLite持久化存储，会话与消息CRUD</w:t>
            </w:r>
          </w:p>
        </w:tc>
      </w:tr>
      <w:tr w14:paraId="3E325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21AC96">
            <w:pPr>
              <w:spacing w:after="0"/>
            </w:pPr>
            <w:r>
              <w:rPr>
                <w:sz w:val="20"/>
              </w:rPr>
              <w:t>离线问答</w:t>
            </w:r>
          </w:p>
        </w:tc>
        <w:tc>
          <w:tcPr>
            <w:tcW w:w="2880" w:type="dxa"/>
          </w:tcPr>
          <w:p w14:paraId="403513D9">
            <w:pPr>
              <w:spacing w:after="0"/>
            </w:pPr>
            <w:r>
              <w:rPr>
                <w:sz w:val="20"/>
              </w:rPr>
              <w:t>local_qa.py</w:t>
            </w:r>
          </w:p>
        </w:tc>
        <w:tc>
          <w:tcPr>
            <w:tcW w:w="2880" w:type="dxa"/>
          </w:tcPr>
          <w:p w14:paraId="4281AD0A">
            <w:pPr>
              <w:spacing w:after="0"/>
            </w:pPr>
            <w:r>
              <w:rPr>
                <w:sz w:val="20"/>
              </w:rPr>
              <w:t>知识图谱检索、数学计算、法条引用</w:t>
            </w:r>
          </w:p>
        </w:tc>
      </w:tr>
      <w:tr w14:paraId="19475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89C2BA">
            <w:pPr>
              <w:spacing w:after="0"/>
            </w:pPr>
            <w:r>
              <w:rPr>
                <w:sz w:val="20"/>
              </w:rPr>
              <w:t>Web服务</w:t>
            </w:r>
          </w:p>
        </w:tc>
        <w:tc>
          <w:tcPr>
            <w:tcW w:w="2880" w:type="dxa"/>
          </w:tcPr>
          <w:p w14:paraId="6C8A95A6">
            <w:pPr>
              <w:spacing w:after="0"/>
            </w:pPr>
            <w:r>
              <w:rPr>
                <w:sz w:val="20"/>
              </w:rPr>
              <w:t>app.py</w:t>
            </w:r>
          </w:p>
        </w:tc>
        <w:tc>
          <w:tcPr>
            <w:tcW w:w="2880" w:type="dxa"/>
          </w:tcPr>
          <w:p w14:paraId="00883CC0">
            <w:pPr>
              <w:spacing w:after="0"/>
            </w:pPr>
            <w:r>
              <w:rPr>
                <w:sz w:val="20"/>
              </w:rPr>
              <w:t>Flask路由与页面服务</w:t>
            </w:r>
          </w:p>
        </w:tc>
      </w:tr>
      <w:tr w14:paraId="341D1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C73EF5">
            <w:pPr>
              <w:spacing w:after="0"/>
            </w:pPr>
            <w:r>
              <w:rPr>
                <w:sz w:val="20"/>
              </w:rPr>
              <w:t>前端界面</w:t>
            </w:r>
          </w:p>
        </w:tc>
        <w:tc>
          <w:tcPr>
            <w:tcW w:w="2880" w:type="dxa"/>
          </w:tcPr>
          <w:p w14:paraId="56661BB9">
            <w:pPr>
              <w:spacing w:after="0"/>
            </w:pPr>
            <w:r>
              <w:rPr>
                <w:sz w:val="20"/>
              </w:rPr>
              <w:t>templates/index.html</w:t>
            </w:r>
          </w:p>
        </w:tc>
        <w:tc>
          <w:tcPr>
            <w:tcW w:w="2880" w:type="dxa"/>
          </w:tcPr>
          <w:p w14:paraId="22161CE2">
            <w:pPr>
              <w:spacing w:after="0"/>
            </w:pPr>
            <w:r>
              <w:rPr>
                <w:sz w:val="20"/>
              </w:rPr>
              <w:t>聊天界面与交互组件</w:t>
            </w:r>
          </w:p>
        </w:tc>
      </w:tr>
      <w:tr w14:paraId="6B91C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1105A9">
            <w:pPr>
              <w:spacing w:after="0"/>
            </w:pPr>
            <w:r>
              <w:rPr>
                <w:sz w:val="20"/>
              </w:rPr>
              <w:t>前端逻辑</w:t>
            </w:r>
          </w:p>
        </w:tc>
        <w:tc>
          <w:tcPr>
            <w:tcW w:w="2880" w:type="dxa"/>
          </w:tcPr>
          <w:p w14:paraId="23E3295B">
            <w:pPr>
              <w:spacing w:after="0"/>
            </w:pPr>
            <w:r>
              <w:rPr>
                <w:sz w:val="20"/>
              </w:rPr>
              <w:t>static/script.js</w:t>
            </w:r>
          </w:p>
        </w:tc>
        <w:tc>
          <w:tcPr>
            <w:tcW w:w="2880" w:type="dxa"/>
          </w:tcPr>
          <w:p w14:paraId="40C05188">
            <w:pPr>
              <w:spacing w:after="0"/>
            </w:pPr>
            <w:r>
              <w:rPr>
                <w:sz w:val="20"/>
              </w:rPr>
              <w:t>消息处理、语音输入、模式切换</w:t>
            </w:r>
          </w:p>
        </w:tc>
      </w:tr>
    </w:tbl>
    <w:p w14:paraId="6C90F690">
      <w:pPr>
        <w:spacing w:before="120" w:after="120"/>
        <w:jc w:val="left"/>
      </w:pPr>
      <w:r>
        <w:rPr>
          <w:rFonts w:ascii="黑体" w:hAnsi="黑体" w:eastAsia="黑体"/>
          <w:b/>
          <w:sz w:val="28"/>
        </w:rPr>
        <w:t>3.3 两阶段检索流程</w:t>
      </w:r>
    </w:p>
    <w:p w14:paraId="4C58AB5F">
      <w:pPr>
        <w:spacing w:line="240" w:lineRule="auto"/>
        <w:ind w:left="567"/>
      </w:pPr>
      <w:r>
        <w:rPr>
          <w:rFonts w:ascii="Consolas" w:hAnsi="Consolas"/>
          <w:sz w:val="18"/>
        </w:rPr>
        <w:t>用户输入问题</w:t>
      </w:r>
    </w:p>
    <w:p w14:paraId="426BBFC3">
      <w:pPr>
        <w:spacing w:line="240" w:lineRule="auto"/>
        <w:ind w:left="567"/>
      </w:pPr>
      <w:r>
        <w:rPr>
          <w:rFonts w:ascii="Consolas" w:hAnsi="Consolas"/>
          <w:sz w:val="18"/>
        </w:rPr>
        <w:t xml:space="preserve">    ↓</w:t>
      </w:r>
    </w:p>
    <w:p w14:paraId="063D3FC7">
      <w:pPr>
        <w:spacing w:line="240" w:lineRule="auto"/>
        <w:ind w:left="567"/>
      </w:pPr>
      <w:r>
        <w:rPr>
          <w:rFonts w:ascii="Consolas" w:hAnsi="Consolas"/>
          <w:sz w:val="18"/>
        </w:rPr>
        <w:t>阶段1：知识图谱匹配 → 获取律师咨询回答</w:t>
      </w:r>
    </w:p>
    <w:p w14:paraId="69B03253">
      <w:pPr>
        <w:spacing w:line="240" w:lineRule="auto"/>
        <w:ind w:left="567"/>
      </w:pPr>
      <w:r>
        <w:rPr>
          <w:rFonts w:ascii="Consolas" w:hAnsi="Consolas"/>
          <w:sz w:val="18"/>
        </w:rPr>
        <w:t xml:space="preserve">    ↓ 提取法律名称（如《道路交通安全法》）</w:t>
      </w:r>
    </w:p>
    <w:p w14:paraId="2E86F0B6">
      <w:pPr>
        <w:spacing w:line="240" w:lineRule="auto"/>
        <w:ind w:left="567"/>
      </w:pPr>
      <w:r>
        <w:rPr>
          <w:rFonts w:ascii="Consolas" w:hAnsi="Consolas"/>
          <w:sz w:val="18"/>
        </w:rPr>
        <w:t>阶段2：法条索引搜索 → 在该法律条文中搜索关键词</w:t>
      </w:r>
    </w:p>
    <w:p w14:paraId="757D0663">
      <w:pPr>
        <w:spacing w:line="240" w:lineRule="auto"/>
        <w:ind w:left="567"/>
      </w:pPr>
      <w:r>
        <w:rPr>
          <w:rFonts w:ascii="Consolas" w:hAnsi="Consolas"/>
          <w:sz w:val="18"/>
        </w:rPr>
        <w:t xml:space="preserve">    ↓ 优先匹配具体条号，其次关键词匹配排序</w:t>
      </w:r>
    </w:p>
    <w:p w14:paraId="513B2EA7">
      <w:pPr>
        <w:spacing w:line="240" w:lineRule="auto"/>
        <w:ind w:left="567"/>
      </w:pPr>
      <w:r>
        <w:rPr>
          <w:rFonts w:ascii="Consolas" w:hAnsi="Consolas"/>
          <w:sz w:val="18"/>
        </w:rPr>
        <w:t>组合输出：咨询回答 + 相关法条引用</w:t>
      </w:r>
    </w:p>
    <w:p w14:paraId="54D90969">
      <w:pPr>
        <w:spacing w:before="240" w:after="240"/>
        <w:jc w:val="left"/>
      </w:pPr>
      <w:r>
        <w:rPr>
          <w:rFonts w:ascii="黑体" w:hAnsi="黑体" w:eastAsia="黑体"/>
          <w:b/>
          <w:sz w:val="32"/>
        </w:rPr>
        <w:t>四、实验过程记录与实验结果分析</w:t>
      </w:r>
    </w:p>
    <w:p w14:paraId="58C38E06">
      <w:pPr>
        <w:spacing w:before="120" w:after="120"/>
        <w:jc w:val="left"/>
      </w:pPr>
      <w:r>
        <w:rPr>
          <w:rFonts w:ascii="黑体" w:hAnsi="黑体" w:eastAsia="黑体"/>
          <w:b/>
          <w:sz w:val="28"/>
        </w:rPr>
        <w:t>4.1 数据集构建</w:t>
      </w:r>
    </w:p>
    <w:p w14:paraId="7995C0AA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实验使用了三个数据源构建法律知识库：</w:t>
      </w:r>
    </w:p>
    <w:p w14:paraId="598D4440">
      <w:pPr>
        <w:spacing w:before="120" w:after="120"/>
        <w:jc w:val="center"/>
      </w:pPr>
      <w:r>
        <w:rPr>
          <w:rFonts w:eastAsia="宋体"/>
          <w:sz w:val="20"/>
        </w:rPr>
        <w:t>表4.1  法律知识数据源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85FB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A4B272">
            <w:pPr>
              <w:spacing w:after="0"/>
              <w:jc w:val="center"/>
            </w:pPr>
            <w:r>
              <w:rPr>
                <w:b/>
                <w:sz w:val="20"/>
              </w:rPr>
              <w:t>数据源</w:t>
            </w:r>
          </w:p>
        </w:tc>
        <w:tc>
          <w:tcPr>
            <w:tcW w:w="2880" w:type="dxa"/>
          </w:tcPr>
          <w:p w14:paraId="4495EB32">
            <w:pPr>
              <w:spacing w:after="0"/>
              <w:jc w:val="center"/>
            </w:pPr>
            <w:r>
              <w:rPr>
                <w:b/>
                <w:sz w:val="20"/>
              </w:rPr>
              <w:t>条目数</w:t>
            </w:r>
          </w:p>
        </w:tc>
        <w:tc>
          <w:tcPr>
            <w:tcW w:w="2880" w:type="dxa"/>
          </w:tcPr>
          <w:p w14:paraId="2190EEC9">
            <w:pPr>
              <w:spacing w:after="0"/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2E9B9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3CF529">
            <w:pPr>
              <w:spacing w:after="0"/>
            </w:pPr>
            <w:r>
              <w:rPr>
                <w:sz w:val="20"/>
              </w:rPr>
              <w:t>Lawyer-LLaMA法律咨询数据</w:t>
            </w:r>
          </w:p>
        </w:tc>
        <w:tc>
          <w:tcPr>
            <w:tcW w:w="2880" w:type="dxa"/>
          </w:tcPr>
          <w:p w14:paraId="77301137">
            <w:pPr>
              <w:spacing w:after="0"/>
            </w:pPr>
            <w:r>
              <w:rPr>
                <w:sz w:val="20"/>
              </w:rPr>
              <w:t>9,038</w:t>
            </w:r>
          </w:p>
        </w:tc>
        <w:tc>
          <w:tcPr>
            <w:tcW w:w="2880" w:type="dxa"/>
          </w:tcPr>
          <w:p w14:paraId="68FE038C">
            <w:pPr>
              <w:spacing w:after="0"/>
            </w:pPr>
            <w:r>
              <w:rPr>
                <w:sz w:val="20"/>
              </w:rPr>
              <w:t>包含legal_advice、legal_counsel_v2、zixun_gpt4三个子集</w:t>
            </w:r>
          </w:p>
        </w:tc>
      </w:tr>
      <w:tr w14:paraId="2FE63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BBB9CB">
            <w:pPr>
              <w:spacing w:after="0"/>
            </w:pPr>
            <w:r>
              <w:rPr>
                <w:sz w:val="20"/>
              </w:rPr>
              <w:t>Chinese_law.md法律原文</w:t>
            </w:r>
          </w:p>
        </w:tc>
        <w:tc>
          <w:tcPr>
            <w:tcW w:w="2880" w:type="dxa"/>
          </w:tcPr>
          <w:p w14:paraId="39ECCA06">
            <w:pPr>
              <w:spacing w:after="0"/>
            </w:pPr>
            <w:r>
              <w:rPr>
                <w:sz w:val="20"/>
              </w:rPr>
              <w:t>52,642</w:t>
            </w:r>
          </w:p>
        </w:tc>
        <w:tc>
          <w:tcPr>
            <w:tcW w:w="2880" w:type="dxa"/>
          </w:tcPr>
          <w:p w14:paraId="3D06AE28">
            <w:pPr>
              <w:spacing w:after="0"/>
            </w:pPr>
            <w:r>
              <w:rPr>
                <w:sz w:val="20"/>
              </w:rPr>
              <w:t>涵盖宪法、民法典、刑法等1240部法律的法条</w:t>
            </w:r>
          </w:p>
        </w:tc>
      </w:tr>
      <w:tr w14:paraId="515DA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A11714">
            <w:pPr>
              <w:spacing w:after="0"/>
            </w:pPr>
            <w:r>
              <w:rPr>
                <w:sz w:val="20"/>
              </w:rPr>
              <w:t>总计（去重后）</w:t>
            </w:r>
          </w:p>
        </w:tc>
        <w:tc>
          <w:tcPr>
            <w:tcW w:w="2880" w:type="dxa"/>
          </w:tcPr>
          <w:p w14:paraId="26F124AE">
            <w:pPr>
              <w:spacing w:after="0"/>
            </w:pPr>
            <w:r>
              <w:rPr>
                <w:sz w:val="20"/>
              </w:rPr>
              <w:t>61,680</w:t>
            </w:r>
          </w:p>
        </w:tc>
        <w:tc>
          <w:tcPr>
            <w:tcW w:w="2880" w:type="dxa"/>
          </w:tcPr>
          <w:p w14:paraId="2F86ADF9">
            <w:pPr>
              <w:spacing w:after="0"/>
            </w:pPr>
            <w:r>
              <w:rPr>
                <w:sz w:val="20"/>
              </w:rPr>
              <w:t>合并去重后的最终数据量</w:t>
            </w:r>
          </w:p>
        </w:tc>
      </w:tr>
    </w:tbl>
    <w:p w14:paraId="1B0AAC37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数据预处理过程中，需要处理不同格式的数据源：legal_advice.json为嵌套列表格式[[{...}]]，需要展平处理；zixun_gpt4.json使用query/response/laws字段，需要将法条引用与回答组合；Chinese_law.md为Markdown格式的法律原文，需要通过正则表达式提取法条并转换为问答对。</w:t>
      </w:r>
    </w:p>
    <w:p w14:paraId="1DC1C6EA">
      <w:pPr>
        <w:spacing w:before="120" w:after="120"/>
        <w:jc w:val="left"/>
      </w:pPr>
      <w:r>
        <w:rPr>
          <w:rFonts w:ascii="黑体" w:hAnsi="黑体" w:eastAsia="黑体"/>
          <w:b/>
          <w:sz w:val="28"/>
        </w:rPr>
        <w:t>4.2 知识图谱构建</w:t>
      </w:r>
    </w:p>
    <w:p w14:paraId="390D07A6">
      <w:pPr>
        <w:spacing w:line="360" w:lineRule="auto"/>
        <w:ind w:firstLine="425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知识图谱构建过程如下：对每条法律知识，提取问题关键词（权重3.0）、同义词扩展（权重2.5）、答案前10个关键词（权重0.3），构建关键词-权重映射。同时建立法律名称到法条索引的映射，用于两阶段检索中的法条搜索。构建完成后，图谱包含859,522个关键词节点。</w:t>
      </w:r>
    </w:p>
    <w:p w14:paraId="7B48D7F2">
      <w:pPr>
        <w:spacing w:before="120" w:after="120"/>
        <w:jc w:val="left"/>
        <w:rPr>
          <w:rFonts w:hint="eastAsia" w:ascii="黑体" w:hAnsi="黑体" w:eastAsia="黑体"/>
          <w:b/>
          <w:sz w:val="28"/>
          <w:lang w:val="en-US" w:eastAsia="zh-CN"/>
        </w:rPr>
      </w:pPr>
      <w:r>
        <w:rPr>
          <w:rFonts w:hint="eastAsia" w:ascii="黑体" w:hAnsi="黑体" w:eastAsia="黑体"/>
          <w:b/>
          <w:sz w:val="28"/>
          <w:lang w:val="en-US" w:eastAsia="zh-CN"/>
        </w:rPr>
        <w:t>4.3 整体介绍</w:t>
      </w:r>
    </w:p>
    <w:p w14:paraId="1D0400D8">
      <w:pPr>
        <w:spacing w:line="360" w:lineRule="auto"/>
        <w:ind w:firstLine="480"/>
      </w:pPr>
      <w:r>
        <w:rPr>
          <w:rFonts w:eastAsia="宋体"/>
          <w:sz w:val="24"/>
        </w:rPr>
        <w:t>本系统是一个基于Flask框架的智能法律问答平台，采用前后端分离架构，支持在线与离线双模式运行。在线模式下，系统通过DeepSeek API实现智能对话，支持流式输出与多轮上下文管理；离线模式下，系统基于6万余条法律知识构建的知识图谱，实现本地法律问答与中文数学表达式计算，无需网络即可运行。系统界面简洁直观，左侧为会话管理列表，右侧为聊天区域，顶部提供在线/离线模式切换按钮，输入框右侧集成语音输入功能。如下图所示，系统主界面包含会话列表、聊天区域和模式切换三个核心区域。</w:t>
      </w:r>
    </w:p>
    <w:p w14:paraId="697E0FF3">
      <w:pPr>
        <w:spacing w:before="120" w:after="120"/>
        <w:jc w:val="left"/>
        <w:rPr>
          <w:rFonts w:hint="default" w:ascii="黑体" w:hAnsi="黑体" w:eastAsia="黑体"/>
          <w:b/>
          <w:sz w:val="28"/>
          <w:lang w:val="en-US" w:eastAsia="zh-CN"/>
        </w:rPr>
      </w:pPr>
      <w:r>
        <w:drawing>
          <wp:inline distT="0" distB="0" distL="114300" distR="114300">
            <wp:extent cx="5486400" cy="3657600"/>
            <wp:effectExtent l="0" t="0" r="825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364F">
      <w:pPr>
        <w:spacing w:before="120" w:after="120"/>
        <w:jc w:val="center"/>
      </w:pPr>
      <w:r>
        <w:rPr>
          <w:rFonts w:eastAsia="宋体"/>
          <w:sz w:val="20"/>
        </w:rPr>
        <w:t>图4.1  智能问答系统整体界面</w:t>
      </w:r>
    </w:p>
    <w:p w14:paraId="40C0ACCE">
      <w:pPr>
        <w:spacing w:before="120" w:after="120"/>
        <w:jc w:val="left"/>
        <w:rPr>
          <w:rFonts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8"/>
        </w:rPr>
        <w:t>4.4 离线模式测试结果</w:t>
      </w:r>
    </w:p>
    <w:p w14:paraId="491E2530">
      <w:pPr>
        <w:spacing w:before="120" w:after="120"/>
        <w:jc w:val="left"/>
      </w:pPr>
      <w:r>
        <w:rPr>
          <w:rFonts w:ascii="黑体" w:hAnsi="黑体" w:eastAsia="黑体"/>
          <w:b/>
          <w:sz w:val="24"/>
        </w:rPr>
        <w:t>4.3.</w:t>
      </w:r>
      <w:r>
        <w:rPr>
          <w:rFonts w:hint="eastAsia" w:ascii="黑体" w:hAnsi="黑体" w:eastAsia="黑体"/>
          <w:b/>
          <w:sz w:val="24"/>
          <w:lang w:val="en-US" w:eastAsia="zh-CN"/>
        </w:rPr>
        <w:t>1</w:t>
      </w:r>
      <w:r>
        <w:rPr>
          <w:rFonts w:ascii="黑体" w:hAnsi="黑体" w:eastAsia="黑体"/>
          <w:b/>
          <w:sz w:val="24"/>
        </w:rPr>
        <w:t xml:space="preserve"> 法律问答测试</w:t>
      </w:r>
    </w:p>
    <w:p w14:paraId="600C4F67">
      <w:pPr>
        <w:spacing w:before="120" w:after="120"/>
        <w:jc w:val="center"/>
      </w:pPr>
      <w:r>
        <w:rPr>
          <w:rFonts w:eastAsia="宋体"/>
          <w:sz w:val="20"/>
        </w:rPr>
        <w:t>表4.2  离线模式法律问答测试结果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F3C3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9D7EE7">
            <w:pPr>
              <w:spacing w:after="0"/>
              <w:jc w:val="center"/>
            </w:pPr>
            <w:r>
              <w:rPr>
                <w:b/>
                <w:sz w:val="20"/>
              </w:rPr>
              <w:t>测试问题</w:t>
            </w:r>
          </w:p>
        </w:tc>
        <w:tc>
          <w:tcPr>
            <w:tcW w:w="2160" w:type="dxa"/>
          </w:tcPr>
          <w:p w14:paraId="453F8A0C">
            <w:pPr>
              <w:spacing w:after="0"/>
              <w:jc w:val="center"/>
            </w:pPr>
            <w:r>
              <w:rPr>
                <w:b/>
                <w:sz w:val="20"/>
              </w:rPr>
              <w:t>咨询回答匹配</w:t>
            </w:r>
          </w:p>
        </w:tc>
        <w:tc>
          <w:tcPr>
            <w:tcW w:w="2160" w:type="dxa"/>
          </w:tcPr>
          <w:p w14:paraId="00F30B3D">
            <w:pPr>
              <w:spacing w:after="0"/>
              <w:jc w:val="center"/>
            </w:pPr>
            <w:r>
              <w:rPr>
                <w:b/>
                <w:sz w:val="20"/>
              </w:rPr>
              <w:t>法条引用</w:t>
            </w:r>
          </w:p>
        </w:tc>
        <w:tc>
          <w:tcPr>
            <w:tcW w:w="2160" w:type="dxa"/>
          </w:tcPr>
          <w:p w14:paraId="5A84DF8E">
            <w:pPr>
              <w:spacing w:after="0"/>
              <w:jc w:val="center"/>
            </w:pPr>
            <w:r>
              <w:rPr>
                <w:b/>
                <w:sz w:val="20"/>
              </w:rPr>
              <w:t>效果</w:t>
            </w:r>
          </w:p>
        </w:tc>
      </w:tr>
      <w:tr w14:paraId="76F86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9E1289">
            <w:pPr>
              <w:spacing w:after="0"/>
            </w:pPr>
            <w:r>
              <w:rPr>
                <w:sz w:val="20"/>
              </w:rPr>
              <w:t>酒驾怎么处罚</w:t>
            </w:r>
          </w:p>
        </w:tc>
        <w:tc>
          <w:tcPr>
            <w:tcW w:w="2160" w:type="dxa"/>
          </w:tcPr>
          <w:p w14:paraId="594C0C76">
            <w:pPr>
              <w:spacing w:after="0"/>
            </w:pPr>
            <w:r>
              <w:rPr>
                <w:sz w:val="20"/>
              </w:rPr>
              <w:t>正确匹配酒驾处罚解读</w:t>
            </w:r>
          </w:p>
        </w:tc>
        <w:tc>
          <w:tcPr>
            <w:tcW w:w="2160" w:type="dxa"/>
          </w:tcPr>
          <w:p w14:paraId="27CD1C8E">
            <w:pPr>
              <w:spacing w:after="0"/>
            </w:pPr>
            <w:r>
              <w:rPr>
                <w:sz w:val="20"/>
              </w:rPr>
              <w:t>《道路交通安全法》第91条</w:t>
            </w:r>
          </w:p>
        </w:tc>
        <w:tc>
          <w:tcPr>
            <w:tcW w:w="2160" w:type="dxa"/>
          </w:tcPr>
          <w:p w14:paraId="4FA837E9">
            <w:pPr>
              <w:spacing w:after="0"/>
            </w:pPr>
            <w:r>
              <w:rPr>
                <w:sz w:val="20"/>
              </w:rPr>
              <w:t>优秀</w:t>
            </w:r>
          </w:p>
        </w:tc>
      </w:tr>
      <w:tr w14:paraId="3A891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80A44A">
            <w:pPr>
              <w:spacing w:after="0"/>
            </w:pPr>
            <w:r>
              <w:rPr>
                <w:sz w:val="20"/>
              </w:rPr>
              <w:t>什么是正当防卫</w:t>
            </w:r>
          </w:p>
        </w:tc>
        <w:tc>
          <w:tcPr>
            <w:tcW w:w="2160" w:type="dxa"/>
          </w:tcPr>
          <w:p w14:paraId="4F2CEB53">
            <w:pPr>
              <w:spacing w:after="0"/>
            </w:pPr>
            <w:r>
              <w:rPr>
                <w:sz w:val="20"/>
              </w:rPr>
              <w:t>正确匹配正当防卫解读</w:t>
            </w:r>
          </w:p>
        </w:tc>
        <w:tc>
          <w:tcPr>
            <w:tcW w:w="2160" w:type="dxa"/>
          </w:tcPr>
          <w:p w14:paraId="3E315F25">
            <w:pPr>
              <w:spacing w:after="0"/>
            </w:pPr>
            <w:r>
              <w:rPr>
                <w:sz w:val="20"/>
              </w:rPr>
              <w:t>《民法典》第181条</w:t>
            </w:r>
          </w:p>
        </w:tc>
        <w:tc>
          <w:tcPr>
            <w:tcW w:w="2160" w:type="dxa"/>
          </w:tcPr>
          <w:p w14:paraId="608A0620">
            <w:pPr>
              <w:spacing w:after="0"/>
            </w:pPr>
            <w:r>
              <w:rPr>
                <w:sz w:val="20"/>
              </w:rPr>
              <w:t>优秀</w:t>
            </w:r>
          </w:p>
        </w:tc>
      </w:tr>
      <w:tr w14:paraId="3B2AC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6E93D1">
            <w:pPr>
              <w:spacing w:after="0"/>
            </w:pPr>
            <w:r>
              <w:rPr>
                <w:sz w:val="20"/>
              </w:rPr>
              <w:t>合同违约怎么赔偿</w:t>
            </w:r>
          </w:p>
        </w:tc>
        <w:tc>
          <w:tcPr>
            <w:tcW w:w="2160" w:type="dxa"/>
          </w:tcPr>
          <w:p w14:paraId="25F8ED43">
            <w:pPr>
              <w:spacing w:after="0"/>
            </w:pPr>
            <w:r>
              <w:rPr>
                <w:sz w:val="20"/>
              </w:rPr>
              <w:t>正确匹配合同违约回答</w:t>
            </w:r>
          </w:p>
        </w:tc>
        <w:tc>
          <w:tcPr>
            <w:tcW w:w="2160" w:type="dxa"/>
          </w:tcPr>
          <w:p w14:paraId="2F21D80A">
            <w:pPr>
              <w:spacing w:after="0"/>
            </w:pPr>
            <w:r>
              <w:rPr>
                <w:sz w:val="20"/>
              </w:rPr>
              <w:t>相关法条引用</w:t>
            </w:r>
          </w:p>
        </w:tc>
        <w:tc>
          <w:tcPr>
            <w:tcW w:w="2160" w:type="dxa"/>
          </w:tcPr>
          <w:p w14:paraId="5C163D5A">
            <w:pPr>
              <w:spacing w:after="0"/>
            </w:pPr>
            <w:r>
              <w:rPr>
                <w:sz w:val="20"/>
              </w:rPr>
              <w:t>优秀</w:t>
            </w:r>
          </w:p>
        </w:tc>
      </w:tr>
      <w:tr w14:paraId="18484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ABFA07">
            <w:pPr>
              <w:spacing w:after="0"/>
            </w:pPr>
            <w:r>
              <w:rPr>
                <w:sz w:val="20"/>
              </w:rPr>
              <w:t>个人信息保护法怎么规定的</w:t>
            </w:r>
          </w:p>
        </w:tc>
        <w:tc>
          <w:tcPr>
            <w:tcW w:w="2160" w:type="dxa"/>
          </w:tcPr>
          <w:p w14:paraId="5780A5B2">
            <w:pPr>
              <w:spacing w:after="0"/>
            </w:pPr>
            <w:r>
              <w:rPr>
                <w:sz w:val="20"/>
              </w:rPr>
              <w:t>正确匹配相关回答</w:t>
            </w:r>
          </w:p>
        </w:tc>
        <w:tc>
          <w:tcPr>
            <w:tcW w:w="2160" w:type="dxa"/>
          </w:tcPr>
          <w:p w14:paraId="02A1F08F">
            <w:pPr>
              <w:spacing w:after="0"/>
            </w:pPr>
            <w:r>
              <w:rPr>
                <w:sz w:val="20"/>
              </w:rPr>
              <w:t>法条引用</w:t>
            </w:r>
          </w:p>
        </w:tc>
        <w:tc>
          <w:tcPr>
            <w:tcW w:w="2160" w:type="dxa"/>
          </w:tcPr>
          <w:p w14:paraId="2B75C213">
            <w:pPr>
              <w:spacing w:after="0"/>
            </w:pPr>
            <w:r>
              <w:rPr>
                <w:sz w:val="20"/>
              </w:rPr>
              <w:t>优秀</w:t>
            </w:r>
          </w:p>
        </w:tc>
      </w:tr>
    </w:tbl>
    <w:p w14:paraId="5E59D2DE">
      <w:pPr>
        <w:spacing w:before="120" w:after="120"/>
        <w:jc w:val="left"/>
      </w:pPr>
      <w:r>
        <w:drawing>
          <wp:inline distT="0" distB="0" distL="114300" distR="114300">
            <wp:extent cx="5480050" cy="3188970"/>
            <wp:effectExtent l="0" t="0" r="3810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1BFAB">
      <w:pPr>
        <w:spacing w:before="120" w:after="120"/>
        <w:jc w:val="center"/>
      </w:pPr>
      <w:r>
        <w:rPr>
          <w:rFonts w:eastAsia="宋体"/>
          <w:sz w:val="20"/>
        </w:rPr>
        <w:t>图4.2  离线模式法律问答测试结果</w:t>
      </w:r>
      <w:r>
        <w:rPr>
          <w:rFonts w:hint="eastAsia"/>
          <w:sz w:val="20"/>
          <w:lang w:val="en-US" w:eastAsia="zh-CN"/>
        </w:rPr>
        <w:t>示例</w:t>
      </w:r>
      <w:r>
        <w:rPr>
          <w:rFonts w:eastAsia="宋体"/>
          <w:sz w:val="20"/>
        </w:rPr>
        <w:t>（酒驾/正当防卫）</w:t>
      </w:r>
    </w:p>
    <w:p w14:paraId="4A2E49B6">
      <w:pPr>
        <w:spacing w:before="120" w:after="120"/>
        <w:jc w:val="left"/>
      </w:pPr>
      <w:r>
        <w:drawing>
          <wp:inline distT="0" distB="0" distL="114300" distR="114300">
            <wp:extent cx="5481320" cy="2487295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5A4CD">
      <w:pPr>
        <w:spacing w:before="120" w:after="120"/>
        <w:jc w:val="center"/>
      </w:pPr>
      <w:r>
        <w:rPr>
          <w:rFonts w:eastAsia="宋体"/>
          <w:sz w:val="20"/>
        </w:rPr>
        <w:t>图4.3  离线模式法律问答测试结果</w:t>
      </w:r>
      <w:r>
        <w:rPr>
          <w:rFonts w:hint="eastAsia"/>
          <w:sz w:val="20"/>
          <w:lang w:val="en-US" w:eastAsia="zh-CN"/>
        </w:rPr>
        <w:t>示例</w:t>
      </w:r>
      <w:r>
        <w:rPr>
          <w:rFonts w:eastAsia="宋体"/>
          <w:sz w:val="20"/>
        </w:rPr>
        <w:t>（合同）</w:t>
      </w:r>
    </w:p>
    <w:p w14:paraId="09B29AE3">
      <w:pPr>
        <w:spacing w:before="120" w:after="120"/>
        <w:jc w:val="left"/>
      </w:pPr>
      <w:r>
        <w:rPr>
          <w:rFonts w:ascii="黑体" w:hAnsi="黑体" w:eastAsia="黑体"/>
          <w:b/>
          <w:sz w:val="24"/>
        </w:rPr>
        <w:t>4.3.</w:t>
      </w:r>
      <w:r>
        <w:rPr>
          <w:rFonts w:hint="eastAsia" w:ascii="黑体" w:hAnsi="黑体" w:eastAsia="黑体"/>
          <w:b/>
          <w:sz w:val="24"/>
          <w:lang w:val="en-US" w:eastAsia="zh-CN"/>
        </w:rPr>
        <w:t>2</w:t>
      </w:r>
      <w:r>
        <w:rPr>
          <w:rFonts w:ascii="黑体" w:hAnsi="黑体" w:eastAsia="黑体"/>
          <w:b/>
          <w:sz w:val="24"/>
        </w:rPr>
        <w:t xml:space="preserve"> 数学计算测试</w:t>
      </w:r>
    </w:p>
    <w:p w14:paraId="46779867">
      <w:pPr>
        <w:spacing w:before="120" w:after="120"/>
        <w:jc w:val="center"/>
      </w:pPr>
      <w:r>
        <w:rPr>
          <w:rFonts w:eastAsia="宋体"/>
          <w:sz w:val="20"/>
        </w:rPr>
        <w:t>表4.3  离线模式数学计算测试结果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A8D7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E84324">
            <w:pPr>
              <w:spacing w:after="0"/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w="2160" w:type="dxa"/>
          </w:tcPr>
          <w:p w14:paraId="4D110D8A">
            <w:pPr>
              <w:spacing w:after="0"/>
              <w:jc w:val="center"/>
            </w:pPr>
            <w:r>
              <w:rPr>
                <w:b/>
                <w:sz w:val="20"/>
              </w:rPr>
              <w:t>解析结果</w:t>
            </w:r>
          </w:p>
        </w:tc>
        <w:tc>
          <w:tcPr>
            <w:tcW w:w="2160" w:type="dxa"/>
          </w:tcPr>
          <w:p w14:paraId="572EE6A1">
            <w:pPr>
              <w:spacing w:after="0"/>
              <w:jc w:val="center"/>
            </w:pPr>
            <w:r>
              <w:rPr>
                <w:b/>
                <w:sz w:val="20"/>
              </w:rPr>
              <w:t>计算结果</w:t>
            </w:r>
          </w:p>
        </w:tc>
        <w:tc>
          <w:tcPr>
            <w:tcW w:w="2160" w:type="dxa"/>
          </w:tcPr>
          <w:p w14:paraId="69DEBB32">
            <w:pPr>
              <w:spacing w:after="0"/>
              <w:jc w:val="center"/>
            </w:pPr>
            <w:r>
              <w:rPr>
                <w:b/>
                <w:sz w:val="20"/>
              </w:rPr>
              <w:t>效果</w:t>
            </w:r>
          </w:p>
        </w:tc>
      </w:tr>
      <w:tr w14:paraId="1DA82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CED470">
            <w:pPr>
              <w:spacing w:after="0"/>
            </w:pPr>
            <w:r>
              <w:rPr>
                <w:sz w:val="20"/>
              </w:rPr>
              <w:t>一的二次方</w:t>
            </w:r>
          </w:p>
        </w:tc>
        <w:tc>
          <w:tcPr>
            <w:tcW w:w="2160" w:type="dxa"/>
          </w:tcPr>
          <w:p w14:paraId="68939EA4">
            <w:pPr>
              <w:spacing w:after="0"/>
            </w:pPr>
            <w:r>
              <w:rPr>
                <w:sz w:val="20"/>
              </w:rPr>
              <w:t>1**2</w:t>
            </w:r>
          </w:p>
        </w:tc>
        <w:tc>
          <w:tcPr>
            <w:tcW w:w="2160" w:type="dxa"/>
          </w:tcPr>
          <w:p w14:paraId="65AF0024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417783F4">
            <w:pPr>
              <w:spacing w:after="0"/>
            </w:pPr>
            <w:r>
              <w:rPr>
                <w:sz w:val="20"/>
              </w:rPr>
              <w:t>正确</w:t>
            </w:r>
          </w:p>
        </w:tc>
      </w:tr>
      <w:tr w14:paraId="2A6DC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E15D74">
            <w:pPr>
              <w:spacing w:after="0"/>
            </w:pPr>
            <w:r>
              <w:rPr>
                <w:sz w:val="20"/>
              </w:rPr>
              <w:t>二加三</w:t>
            </w:r>
          </w:p>
        </w:tc>
        <w:tc>
          <w:tcPr>
            <w:tcW w:w="2160" w:type="dxa"/>
          </w:tcPr>
          <w:p w14:paraId="39533995">
            <w:pPr>
              <w:spacing w:after="0"/>
            </w:pPr>
            <w:r>
              <w:rPr>
                <w:sz w:val="20"/>
              </w:rPr>
              <w:t>2+3</w:t>
            </w:r>
          </w:p>
        </w:tc>
        <w:tc>
          <w:tcPr>
            <w:tcW w:w="2160" w:type="dxa"/>
          </w:tcPr>
          <w:p w14:paraId="270EA148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7F9D1BEA">
            <w:pPr>
              <w:spacing w:after="0"/>
            </w:pPr>
            <w:r>
              <w:rPr>
                <w:sz w:val="20"/>
              </w:rPr>
              <w:t>正确</w:t>
            </w:r>
          </w:p>
        </w:tc>
      </w:tr>
      <w:tr w14:paraId="21641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A76862">
            <w:pPr>
              <w:spacing w:after="0"/>
            </w:pPr>
            <w:r>
              <w:rPr>
                <w:sz w:val="20"/>
              </w:rPr>
              <w:t>十五乘八</w:t>
            </w:r>
          </w:p>
        </w:tc>
        <w:tc>
          <w:tcPr>
            <w:tcW w:w="2160" w:type="dxa"/>
          </w:tcPr>
          <w:p w14:paraId="08FDD13E">
            <w:pPr>
              <w:spacing w:after="0"/>
            </w:pPr>
            <w:r>
              <w:rPr>
                <w:sz w:val="20"/>
              </w:rPr>
              <w:t>15*8</w:t>
            </w:r>
          </w:p>
        </w:tc>
        <w:tc>
          <w:tcPr>
            <w:tcW w:w="2160" w:type="dxa"/>
          </w:tcPr>
          <w:p w14:paraId="3CA7E7CD">
            <w:pPr>
              <w:spacing w:after="0"/>
            </w:pPr>
            <w:r>
              <w:rPr>
                <w:sz w:val="20"/>
              </w:rPr>
              <w:t>120</w:t>
            </w:r>
          </w:p>
        </w:tc>
        <w:tc>
          <w:tcPr>
            <w:tcW w:w="2160" w:type="dxa"/>
          </w:tcPr>
          <w:p w14:paraId="29D7BAF7">
            <w:pPr>
              <w:spacing w:after="0"/>
            </w:pPr>
            <w:r>
              <w:rPr>
                <w:sz w:val="20"/>
              </w:rPr>
              <w:t>正确</w:t>
            </w:r>
          </w:p>
        </w:tc>
      </w:tr>
      <w:tr w14:paraId="284C0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86E2F1">
            <w:pPr>
              <w:spacing w:after="0"/>
            </w:pPr>
            <w:r>
              <w:rPr>
                <w:sz w:val="20"/>
              </w:rPr>
              <w:t>计算 100/4</w:t>
            </w:r>
          </w:p>
        </w:tc>
        <w:tc>
          <w:tcPr>
            <w:tcW w:w="2160" w:type="dxa"/>
          </w:tcPr>
          <w:p w14:paraId="2CC163FD">
            <w:pPr>
              <w:spacing w:after="0"/>
            </w:pPr>
            <w:r>
              <w:rPr>
                <w:sz w:val="20"/>
              </w:rPr>
              <w:t>100/4</w:t>
            </w:r>
          </w:p>
        </w:tc>
        <w:tc>
          <w:tcPr>
            <w:tcW w:w="2160" w:type="dxa"/>
          </w:tcPr>
          <w:p w14:paraId="571D12ED">
            <w:pPr>
              <w:spacing w:after="0"/>
            </w:pPr>
            <w:r>
              <w:rPr>
                <w:sz w:val="20"/>
              </w:rPr>
              <w:t>25</w:t>
            </w:r>
          </w:p>
        </w:tc>
        <w:tc>
          <w:tcPr>
            <w:tcW w:w="2160" w:type="dxa"/>
          </w:tcPr>
          <w:p w14:paraId="704A4250">
            <w:pPr>
              <w:spacing w:after="0"/>
            </w:pPr>
            <w:r>
              <w:rPr>
                <w:sz w:val="20"/>
              </w:rPr>
              <w:t>正确</w:t>
            </w:r>
          </w:p>
        </w:tc>
      </w:tr>
      <w:tr w14:paraId="7A33A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E569AE0">
            <w:pPr>
              <w:spacing w:after="0"/>
            </w:pPr>
            <w:r>
              <w:rPr>
                <w:sz w:val="20"/>
              </w:rPr>
              <w:t>五的四次方</w:t>
            </w:r>
          </w:p>
        </w:tc>
        <w:tc>
          <w:tcPr>
            <w:tcW w:w="2160" w:type="dxa"/>
          </w:tcPr>
          <w:p w14:paraId="234F140D">
            <w:pPr>
              <w:spacing w:after="0"/>
            </w:pPr>
            <w:r>
              <w:rPr>
                <w:sz w:val="20"/>
              </w:rPr>
              <w:t>5**4</w:t>
            </w:r>
          </w:p>
        </w:tc>
        <w:tc>
          <w:tcPr>
            <w:tcW w:w="2160" w:type="dxa"/>
          </w:tcPr>
          <w:p w14:paraId="0DF7FF47">
            <w:pPr>
              <w:spacing w:after="0"/>
            </w:pPr>
            <w:r>
              <w:rPr>
                <w:sz w:val="20"/>
              </w:rPr>
              <w:t>625</w:t>
            </w:r>
          </w:p>
        </w:tc>
        <w:tc>
          <w:tcPr>
            <w:tcW w:w="2160" w:type="dxa"/>
          </w:tcPr>
          <w:p w14:paraId="02DF6C20">
            <w:pPr>
              <w:spacing w:after="0"/>
            </w:pPr>
            <w:r>
              <w:rPr>
                <w:sz w:val="20"/>
              </w:rPr>
              <w:t>正确</w:t>
            </w:r>
          </w:p>
        </w:tc>
      </w:tr>
    </w:tbl>
    <w:p w14:paraId="5063DDFC">
      <w:pPr>
        <w:spacing w:before="120" w:after="120"/>
        <w:jc w:val="left"/>
        <w:rPr>
          <w:rFonts w:ascii="黑体" w:hAnsi="黑体" w:eastAsia="黑体"/>
          <w:b/>
          <w:sz w:val="28"/>
        </w:rPr>
      </w:pPr>
      <w:r>
        <w:drawing>
          <wp:inline distT="0" distB="0" distL="114300" distR="114300">
            <wp:extent cx="5484495" cy="1010285"/>
            <wp:effectExtent l="0" t="0" r="1016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DAF3C">
      <w:pPr>
        <w:spacing w:before="120" w:after="120"/>
        <w:jc w:val="center"/>
        <w:rPr>
          <w:rFonts w:hint="eastAsia" w:eastAsia="宋体"/>
          <w:lang w:val="en-US" w:eastAsia="zh-CN"/>
        </w:rPr>
      </w:pPr>
      <w:r>
        <w:rPr>
          <w:rFonts w:eastAsia="宋体"/>
          <w:sz w:val="20"/>
        </w:rPr>
        <w:t>图4.4  离线模式数学计算测试结果</w:t>
      </w:r>
      <w:r>
        <w:rPr>
          <w:rFonts w:hint="eastAsia"/>
          <w:sz w:val="20"/>
          <w:lang w:val="en-US" w:eastAsia="zh-CN"/>
        </w:rPr>
        <w:t>示例</w:t>
      </w:r>
    </w:p>
    <w:p w14:paraId="051571E8">
      <w:pPr>
        <w:spacing w:before="120" w:after="120"/>
        <w:jc w:val="left"/>
      </w:pPr>
      <w:r>
        <w:rPr>
          <w:rFonts w:ascii="黑体" w:hAnsi="黑体" w:eastAsia="黑体"/>
          <w:b/>
          <w:sz w:val="28"/>
        </w:rPr>
        <w:t>4.5 两阶段检索效果分析</w:t>
      </w:r>
    </w:p>
    <w:p w14:paraId="131F9834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两阶段检索的核心挑战在于：用户使用的口语化表达（如'酒驾'）与法条中的正式用语（如'饮酒后驾驶'）之间存在语义鸿沟。本实验通过以下策略解决该问题：</w:t>
      </w:r>
    </w:p>
    <w:p w14:paraId="091DA807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1. 同义词扩展：建立40+组法律领域同义词映射，将'酒驾'扩展为'饮酒驾驶'、'酒后驾驶'等。</w:t>
      </w:r>
    </w:p>
    <w:p w14:paraId="090DCB07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2. 分词展开：对同义词进行jieba分词，将'饮酒驾驶'展开为'饮酒'+'驾驶'，与法条分词结果对齐。</w:t>
      </w:r>
    </w:p>
    <w:p w14:paraId="01053465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3. 法条文本直接搜索：绕过图谱关键词的限制，直接在法条原文中搜索扩展后的关键词，按命中数排序。</w:t>
      </w:r>
    </w:p>
    <w:p w14:paraId="52D49B17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4. 通用词降权：将'怎么'、'处罚'等通用词权重降至0.2，突出领域词的匹配贡献。</w:t>
      </w:r>
    </w:p>
    <w:p w14:paraId="288C1C80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实验结果表明，上述策略有效提升了法条匹配的准确性。以'酒驾怎么处罚'为例，系统能够正确匹配到《道路交通安全法》第九十一条（饮酒后驾驶机动车的处罚规定），而非其他不相关的法条。</w:t>
      </w:r>
    </w:p>
    <w:p w14:paraId="115C5878">
      <w:pPr>
        <w:spacing w:before="120" w:after="120"/>
        <w:jc w:val="left"/>
      </w:pPr>
      <w:r>
        <w:rPr>
          <w:rFonts w:ascii="黑体" w:hAnsi="黑体" w:eastAsia="黑体"/>
          <w:b/>
          <w:sz w:val="28"/>
        </w:rPr>
        <w:t>4.6 在线模式测试</w:t>
      </w:r>
    </w:p>
    <w:p w14:paraId="29C976F5">
      <w:pPr>
        <w:spacing w:line="360" w:lineRule="auto"/>
        <w:ind w:firstLine="425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在线模式接入DeepSeek API，支持流式输出与多轮对话。测试结果表明，在线模式能够准确回答各类问题，响应速度受网络状况影响，流式输出使得用户无需等待完整回答即可看到部分内容，体验良好。</w:t>
      </w:r>
    </w:p>
    <w:p w14:paraId="5D4D3507">
      <w:pPr>
        <w:spacing w:line="360" w:lineRule="auto"/>
        <w:ind w:firstLine="425"/>
      </w:pPr>
      <w:r>
        <w:drawing>
          <wp:inline distT="0" distB="0" distL="114300" distR="114300">
            <wp:extent cx="5484495" cy="3534410"/>
            <wp:effectExtent l="0" t="0" r="1016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170CE">
      <w:pPr>
        <w:spacing w:before="120" w:after="120"/>
        <w:jc w:val="center"/>
      </w:pPr>
      <w:r>
        <w:rPr>
          <w:rFonts w:eastAsia="宋体"/>
          <w:sz w:val="20"/>
        </w:rPr>
        <w:t>图4.5  在线模式对话测试结果</w:t>
      </w:r>
    </w:p>
    <w:p w14:paraId="2B6C2847">
      <w:pPr>
        <w:spacing w:before="240" w:after="240"/>
        <w:jc w:val="left"/>
      </w:pPr>
      <w:r>
        <w:rPr>
          <w:rFonts w:ascii="黑体" w:hAnsi="黑体" w:eastAsia="黑体"/>
          <w:b/>
          <w:sz w:val="32"/>
        </w:rPr>
        <w:t>五、结论与体会</w:t>
      </w:r>
    </w:p>
    <w:p w14:paraId="59844A0C">
      <w:pPr>
        <w:spacing w:before="120" w:after="120"/>
        <w:jc w:val="left"/>
      </w:pPr>
      <w:r>
        <w:rPr>
          <w:rFonts w:ascii="黑体" w:hAnsi="黑体" w:eastAsia="黑体"/>
          <w:b/>
          <w:sz w:val="28"/>
        </w:rPr>
        <w:t>5.1 实验结论</w:t>
      </w:r>
    </w:p>
    <w:p w14:paraId="22FE24D1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本实验成功构建了一个具备在线/离线双模式的智能法律问答系统，主要成果如下：</w:t>
      </w:r>
    </w:p>
    <w:p w14:paraId="0338BA5F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1. 实现了基于知识图谱的离线法律问答引擎，涵盖61,680条法律知识、1240部法律法规，检索速度小于100ms。</w:t>
      </w:r>
    </w:p>
    <w:p w14:paraId="7F27AB28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2. 实现了两阶段检索（RAG）机制，能够将律师咨询回答与官方法条引用组合输出，提供既通俗易懂又具有法律权威性的回答。</w:t>
      </w:r>
    </w:p>
    <w:p w14:paraId="483955BF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3. 实现了中文数学表达式解析，支持中文数字、运算符和幂次运算的自动转换与计算。</w:t>
      </w:r>
    </w:p>
    <w:p w14:paraId="2666D04B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4. 实现了Web界面与语音输入功能，支持多会话管理、模式切换等用户友好特性。</w:t>
      </w:r>
    </w:p>
    <w:p w14:paraId="51284D3C">
      <w:pPr>
        <w:spacing w:before="120" w:after="120"/>
        <w:jc w:val="left"/>
      </w:pPr>
      <w:r>
        <w:rPr>
          <w:rFonts w:ascii="黑体" w:hAnsi="黑体" w:eastAsia="黑体"/>
          <w:b/>
          <w:sz w:val="28"/>
        </w:rPr>
        <w:t>5.2 经验与收获</w:t>
      </w:r>
    </w:p>
    <w:p w14:paraId="2D0A632C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1. 语义匹配的挑战：用户查询与知识库中的表达往往存在差异，同义词扩展和分词展开是提升匹配召回率的有效手段。</w:t>
      </w:r>
    </w:p>
    <w:p w14:paraId="35C137D5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2. 法条检索的精度问题：法条文本使用正式法律用语，而用户查询多为口语化表达，两者之间的语义鸿沟是法条检索的主要难点。本实验通过同义词扩展+分词展开+文本直接搜索的组合策略有效缓解了该问题。</w:t>
      </w:r>
    </w:p>
    <w:p w14:paraId="536E2D98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3. 数据质量的重要性：数据集的质量直接影响问答系统的表现。Lawyer-LLaMA数据集中部分回答存在重复内容（约5000条需要去重），且部分回答引用了'第X条'这样的占位符而非真实法条编号，增加了法条匹配的难度。</w:t>
      </w:r>
    </w:p>
    <w:p w14:paraId="425880ED">
      <w:pPr>
        <w:spacing w:line="360" w:lineRule="auto"/>
        <w:ind w:firstLine="425"/>
      </w:pPr>
      <w:r>
        <w:rPr>
          <w:rFonts w:ascii="宋体" w:hAnsi="宋体" w:eastAsia="宋体"/>
          <w:sz w:val="24"/>
        </w:rPr>
        <w:t>4. 模块化设计的优势：将系统拆分为配置管理、API封装、核心逻辑、数据库、离线问答等独立模块，使得各模块可以独立开发和测试，也便于后续功能扩展。</w:t>
      </w:r>
    </w:p>
    <w:p w14:paraId="122CB8A2">
      <w:pPr>
        <w:spacing w:before="240" w:after="240"/>
        <w:jc w:val="left"/>
        <w:rPr>
          <w:rFonts w:ascii="宋体" w:hAnsi="宋体" w:eastAsia="宋体"/>
          <w:sz w:val="24"/>
        </w:rPr>
      </w:pPr>
      <w:r>
        <w:rPr>
          <w:rFonts w:ascii="黑体" w:hAnsi="黑体" w:eastAsia="黑体"/>
          <w:b/>
          <w:sz w:val="32"/>
        </w:rPr>
        <w:t>六、参考资料</w:t>
      </w:r>
    </w:p>
    <w:p w14:paraId="476FF26D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结巴中文分词库. jieba</w:t>
      </w:r>
      <w:r>
        <w:rPr>
          <w:rFonts w:hint="eastAsia"/>
          <w:sz w:val="24"/>
          <w:lang w:eastAsia="zh-CN"/>
        </w:rPr>
        <w:t>[</w:t>
      </w:r>
      <w:r>
        <w:rPr>
          <w:rFonts w:ascii="宋体" w:hAnsi="宋体" w:eastAsia="宋体"/>
          <w:sz w:val="24"/>
        </w:rPr>
        <w:t xml:space="preserve">EB/OL]. </w:t>
      </w:r>
      <w:r>
        <w:rPr>
          <w:rFonts w:ascii="宋体" w:hAnsi="宋体" w:eastAsia="宋体"/>
          <w:sz w:val="24"/>
        </w:rPr>
        <w:fldChar w:fldCharType="begin"/>
      </w:r>
      <w:r>
        <w:rPr>
          <w:rFonts w:ascii="宋体" w:hAnsi="宋体" w:eastAsia="宋体"/>
          <w:sz w:val="24"/>
        </w:rPr>
        <w:instrText xml:space="preserve"> HYPERLINK "https://link.wtturl.cn/?target=https://github.com/fxsjy/jieba&amp;scene=im&amp;aid=582478&amp;lang=zh" \o "autolink" \t "_blank" </w:instrText>
      </w:r>
      <w:r>
        <w:rPr>
          <w:rFonts w:ascii="宋体" w:hAnsi="宋体" w:eastAsia="宋体"/>
          <w:sz w:val="24"/>
        </w:rPr>
        <w:fldChar w:fldCharType="separate"/>
      </w:r>
      <w:r>
        <w:rPr>
          <w:rFonts w:ascii="宋体" w:hAnsi="宋体" w:eastAsia="宋体"/>
          <w:sz w:val="24"/>
        </w:rPr>
        <w:t>https://github.com/fxsjy/jieba</w:t>
      </w:r>
      <w:r>
        <w:rPr>
          <w:rFonts w:ascii="宋体" w:hAnsi="宋体" w:eastAsia="宋体"/>
          <w:sz w:val="24"/>
        </w:rPr>
        <w:fldChar w:fldCharType="end"/>
      </w:r>
      <w:r>
        <w:rPr>
          <w:rFonts w:ascii="宋体" w:hAnsi="宋体" w:eastAsia="宋体"/>
          <w:sz w:val="24"/>
        </w:rPr>
        <w:t>,</w:t>
      </w:r>
      <w:r>
        <w:rPr>
          <w:rFonts w:hint="eastAsia"/>
          <w:sz w:val="24"/>
          <w:lang w:eastAsia="zh-CN"/>
        </w:rPr>
        <w:t>[</w:t>
      </w:r>
      <w:r>
        <w:rPr>
          <w:rFonts w:hint="eastAsia"/>
          <w:sz w:val="24"/>
          <w:lang w:val="en-US" w:eastAsia="zh-CN"/>
        </w:rPr>
        <w:t>2026.06.09</w:t>
      </w:r>
      <w:r>
        <w:rPr>
          <w:rFonts w:ascii="宋体" w:hAnsi="宋体" w:eastAsia="宋体"/>
          <w:sz w:val="24"/>
        </w:rPr>
        <w:t>].</w:t>
      </w:r>
    </w:p>
    <w:p w14:paraId="771AA8C1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DeepSeek平台.DeepSeek API文档</w:t>
      </w:r>
      <w:r>
        <w:rPr>
          <w:rFonts w:hint="eastAsia"/>
          <w:sz w:val="24"/>
          <w:lang w:eastAsia="zh-CN"/>
        </w:rPr>
        <w:t>[</w:t>
      </w:r>
      <w:r>
        <w:rPr>
          <w:rFonts w:ascii="宋体" w:hAnsi="宋体" w:eastAsia="宋体"/>
          <w:sz w:val="24"/>
        </w:rPr>
        <w:t xml:space="preserve">EB/OL]. </w:t>
      </w:r>
      <w:r>
        <w:rPr>
          <w:rFonts w:ascii="宋体" w:hAnsi="宋体" w:eastAsia="宋体"/>
          <w:sz w:val="24"/>
        </w:rPr>
        <w:fldChar w:fldCharType="begin"/>
      </w:r>
      <w:r>
        <w:rPr>
          <w:rFonts w:ascii="宋体" w:hAnsi="宋体" w:eastAsia="宋体"/>
          <w:sz w:val="24"/>
        </w:rPr>
        <w:instrText xml:space="preserve"> HYPERLINK "https://link.wtturl.cn/?target=https://platform.deepseek.com/api-docs&amp;scene=im&amp;aid=582478&amp;lang=zh" \o "autolink" \t "_blank" </w:instrText>
      </w:r>
      <w:r>
        <w:rPr>
          <w:rFonts w:ascii="宋体" w:hAnsi="宋体" w:eastAsia="宋体"/>
          <w:sz w:val="24"/>
        </w:rPr>
        <w:fldChar w:fldCharType="separate"/>
      </w:r>
      <w:r>
        <w:rPr>
          <w:rFonts w:ascii="宋体" w:hAnsi="宋体" w:eastAsia="宋体"/>
          <w:sz w:val="24"/>
        </w:rPr>
        <w:t>https://platform.deepseek.com/api-docs</w:t>
      </w:r>
      <w:r>
        <w:rPr>
          <w:rFonts w:ascii="宋体" w:hAnsi="宋体" w:eastAsia="宋体"/>
          <w:sz w:val="24"/>
        </w:rPr>
        <w:fldChar w:fldCharType="end"/>
      </w:r>
      <w:r>
        <w:rPr>
          <w:rFonts w:ascii="宋体" w:hAnsi="宋体" w:eastAsia="宋体"/>
          <w:sz w:val="24"/>
        </w:rPr>
        <w:t>,</w:t>
      </w:r>
      <w:r>
        <w:rPr>
          <w:rFonts w:hint="eastAsia"/>
          <w:sz w:val="24"/>
          <w:lang w:eastAsia="zh-CN"/>
        </w:rPr>
        <w:t>[</w:t>
      </w:r>
      <w:r>
        <w:rPr>
          <w:rFonts w:hint="eastAsia"/>
          <w:sz w:val="24"/>
          <w:lang w:val="en-US" w:eastAsia="zh-CN"/>
        </w:rPr>
        <w:t>2026.06.09</w:t>
      </w:r>
      <w:r>
        <w:rPr>
          <w:rFonts w:ascii="宋体" w:hAnsi="宋体" w:eastAsia="宋体"/>
          <w:sz w:val="24"/>
        </w:rPr>
        <w:t>].</w:t>
      </w:r>
    </w:p>
    <w:p w14:paraId="52AB1F49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Flask 官方团队. Flask Web 框架文档</w:t>
      </w:r>
      <w:r>
        <w:rPr>
          <w:rFonts w:hint="eastAsia"/>
          <w:sz w:val="24"/>
          <w:lang w:eastAsia="zh-CN"/>
        </w:rPr>
        <w:t>[</w:t>
      </w:r>
      <w:r>
        <w:rPr>
          <w:rFonts w:ascii="宋体" w:hAnsi="宋体" w:eastAsia="宋体"/>
          <w:sz w:val="24"/>
        </w:rPr>
        <w:t xml:space="preserve">EB/OL]. </w:t>
      </w:r>
      <w:r>
        <w:rPr>
          <w:rFonts w:ascii="宋体" w:hAnsi="宋体" w:eastAsia="宋体"/>
          <w:sz w:val="24"/>
        </w:rPr>
        <w:fldChar w:fldCharType="begin"/>
      </w:r>
      <w:r>
        <w:rPr>
          <w:rFonts w:ascii="宋体" w:hAnsi="宋体" w:eastAsia="宋体"/>
          <w:sz w:val="24"/>
        </w:rPr>
        <w:instrText xml:space="preserve"> HYPERLINK "https://link.wtturl.cn/?target=https://flask.palletsprojects.com/&amp;scene=im&amp;aid=582478&amp;lang=zh" \o "autolink" \t "_blank" </w:instrText>
      </w:r>
      <w:r>
        <w:rPr>
          <w:rFonts w:ascii="宋体" w:hAnsi="宋体" w:eastAsia="宋体"/>
          <w:sz w:val="24"/>
        </w:rPr>
        <w:fldChar w:fldCharType="separate"/>
      </w:r>
      <w:r>
        <w:rPr>
          <w:rFonts w:ascii="宋体" w:hAnsi="宋体" w:eastAsia="宋体"/>
          <w:sz w:val="24"/>
        </w:rPr>
        <w:t>https://flask.palletsprojects.com/</w:t>
      </w:r>
      <w:r>
        <w:rPr>
          <w:rFonts w:ascii="宋体" w:hAnsi="宋体" w:eastAsia="宋体"/>
          <w:sz w:val="24"/>
        </w:rPr>
        <w:fldChar w:fldCharType="end"/>
      </w:r>
      <w:r>
        <w:rPr>
          <w:rFonts w:ascii="宋体" w:hAnsi="宋体" w:eastAsia="宋体"/>
          <w:sz w:val="24"/>
        </w:rPr>
        <w:t>,</w:t>
      </w:r>
      <w:r>
        <w:rPr>
          <w:rFonts w:hint="eastAsia"/>
          <w:sz w:val="24"/>
          <w:lang w:eastAsia="zh-CN"/>
        </w:rPr>
        <w:t>[</w:t>
      </w:r>
      <w:r>
        <w:rPr>
          <w:rFonts w:hint="eastAsia"/>
          <w:sz w:val="24"/>
          <w:lang w:val="en-US" w:eastAsia="zh-CN"/>
        </w:rPr>
        <w:t>2026.06.09</w:t>
      </w:r>
      <w:r>
        <w:rPr>
          <w:rFonts w:ascii="宋体" w:hAnsi="宋体" w:eastAsia="宋体"/>
          <w:sz w:val="24"/>
        </w:rPr>
        <w:t>].</w:t>
      </w:r>
    </w:p>
    <w:p w14:paraId="51D976F7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AndrewZhe. Lawyer-LLaMA 法律大模型数据集</w:t>
      </w:r>
      <w:r>
        <w:rPr>
          <w:rFonts w:hint="eastAsia"/>
          <w:sz w:val="24"/>
          <w:lang w:eastAsia="zh-CN"/>
        </w:rPr>
        <w:t>[</w:t>
      </w:r>
      <w:r>
        <w:rPr>
          <w:rFonts w:ascii="宋体" w:hAnsi="宋体" w:eastAsia="宋体"/>
          <w:sz w:val="24"/>
        </w:rPr>
        <w:t xml:space="preserve">EB/OL]. </w:t>
      </w:r>
      <w:r>
        <w:rPr>
          <w:rFonts w:ascii="宋体" w:hAnsi="宋体" w:eastAsia="宋体"/>
          <w:sz w:val="24"/>
        </w:rPr>
        <w:fldChar w:fldCharType="begin"/>
      </w:r>
      <w:r>
        <w:rPr>
          <w:rFonts w:ascii="宋体" w:hAnsi="宋体" w:eastAsia="宋体"/>
          <w:sz w:val="24"/>
        </w:rPr>
        <w:instrText xml:space="preserve"> HYPERLINK "https://link.wtturl.cn/?target=https://github.com/AndrewZhe/lawyer-llama&amp;scene=im&amp;aid=582478&amp;lang=zh" \o "autolink" \t "_blank" </w:instrText>
      </w:r>
      <w:r>
        <w:rPr>
          <w:rFonts w:ascii="宋体" w:hAnsi="宋体" w:eastAsia="宋体"/>
          <w:sz w:val="24"/>
        </w:rPr>
        <w:fldChar w:fldCharType="separate"/>
      </w:r>
      <w:r>
        <w:rPr>
          <w:rFonts w:ascii="宋体" w:hAnsi="宋体" w:eastAsia="宋体"/>
          <w:sz w:val="24"/>
        </w:rPr>
        <w:t>https://github.com/AndrewZhe/lawyer-llama</w:t>
      </w:r>
      <w:r>
        <w:rPr>
          <w:rFonts w:ascii="宋体" w:hAnsi="宋体" w:eastAsia="宋体"/>
          <w:sz w:val="24"/>
        </w:rPr>
        <w:fldChar w:fldCharType="end"/>
      </w:r>
      <w:r>
        <w:rPr>
          <w:rFonts w:ascii="宋体" w:hAnsi="宋体" w:eastAsia="宋体"/>
          <w:sz w:val="24"/>
        </w:rPr>
        <w:t>,</w:t>
      </w:r>
      <w:r>
        <w:rPr>
          <w:rFonts w:hint="eastAsia"/>
          <w:sz w:val="24"/>
          <w:lang w:eastAsia="zh-CN"/>
        </w:rPr>
        <w:t>[</w:t>
      </w:r>
      <w:r>
        <w:rPr>
          <w:rFonts w:hint="eastAsia"/>
          <w:sz w:val="24"/>
          <w:lang w:val="en-US" w:eastAsia="zh-CN"/>
        </w:rPr>
        <w:t>2026.06.09</w:t>
      </w:r>
      <w:r>
        <w:rPr>
          <w:rFonts w:ascii="宋体" w:hAnsi="宋体" w:eastAsia="宋体"/>
          <w:sz w:val="24"/>
        </w:rPr>
        <w:t>].</w:t>
      </w:r>
    </w:p>
    <w:p w14:paraId="007D1BCC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python-docx 开发团队. python-docx 文档</w:t>
      </w:r>
      <w:r>
        <w:rPr>
          <w:rFonts w:hint="eastAsia"/>
          <w:sz w:val="24"/>
          <w:lang w:eastAsia="zh-CN"/>
        </w:rPr>
        <w:t>[</w:t>
      </w:r>
      <w:r>
        <w:rPr>
          <w:rFonts w:ascii="宋体" w:hAnsi="宋体" w:eastAsia="宋体"/>
          <w:sz w:val="24"/>
        </w:rPr>
        <w:t xml:space="preserve">EB/OL]. </w:t>
      </w:r>
      <w:r>
        <w:rPr>
          <w:rFonts w:ascii="宋体" w:hAnsi="宋体" w:eastAsia="宋体"/>
          <w:sz w:val="24"/>
        </w:rPr>
        <w:fldChar w:fldCharType="begin"/>
      </w:r>
      <w:r>
        <w:rPr>
          <w:rFonts w:ascii="宋体" w:hAnsi="宋体" w:eastAsia="宋体"/>
          <w:sz w:val="24"/>
        </w:rPr>
        <w:instrText xml:space="preserve"> HYPERLINK "https://link.wtturl.cn/?target=https://python-docx.readthedocs.io/&amp;scene=im&amp;aid=582478&amp;lang=zh" \o "autolink" \t "_blank" </w:instrText>
      </w:r>
      <w:r>
        <w:rPr>
          <w:rFonts w:ascii="宋体" w:hAnsi="宋体" w:eastAsia="宋体"/>
          <w:sz w:val="24"/>
        </w:rPr>
        <w:fldChar w:fldCharType="separate"/>
      </w:r>
      <w:r>
        <w:rPr>
          <w:rFonts w:ascii="宋体" w:hAnsi="宋体" w:eastAsia="宋体"/>
          <w:sz w:val="24"/>
        </w:rPr>
        <w:t>https://python-docx.readthedocs.io/</w:t>
      </w:r>
      <w:r>
        <w:rPr>
          <w:rFonts w:ascii="宋体" w:hAnsi="宋体" w:eastAsia="宋体"/>
          <w:sz w:val="24"/>
        </w:rPr>
        <w:fldChar w:fldCharType="end"/>
      </w:r>
      <w:r>
        <w:rPr>
          <w:rFonts w:ascii="宋体" w:hAnsi="宋体" w:eastAsia="宋体"/>
          <w:sz w:val="24"/>
        </w:rPr>
        <w:t>,</w:t>
      </w:r>
      <w:r>
        <w:rPr>
          <w:rFonts w:hint="eastAsia"/>
          <w:sz w:val="24"/>
          <w:lang w:eastAsia="zh-CN"/>
        </w:rPr>
        <w:t>[</w:t>
      </w:r>
      <w:r>
        <w:rPr>
          <w:rFonts w:hint="eastAsia"/>
          <w:sz w:val="24"/>
          <w:lang w:val="en-US" w:eastAsia="zh-CN"/>
        </w:rPr>
        <w:t>2026.06.09</w:t>
      </w:r>
      <w:r>
        <w:rPr>
          <w:rFonts w:ascii="宋体" w:hAnsi="宋体" w:eastAsia="宋体"/>
          <w:sz w:val="24"/>
        </w:rPr>
        <w:t>].</w:t>
      </w:r>
    </w:p>
    <w:p w14:paraId="64D1AAF5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王斌。信息检索导论</w:t>
      </w:r>
      <w:r>
        <w:rPr>
          <w:rFonts w:hint="eastAsia"/>
          <w:sz w:val="24"/>
          <w:lang w:eastAsia="zh-CN"/>
        </w:rPr>
        <w:t>[</w:t>
      </w:r>
      <w:r>
        <w:rPr>
          <w:rFonts w:ascii="宋体" w:hAnsi="宋体" w:eastAsia="宋体"/>
          <w:sz w:val="24"/>
        </w:rPr>
        <w:t>M]. 北京：人民邮电出版社，2010.</w:t>
      </w:r>
    </w:p>
    <w:p w14:paraId="38BB543C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刘知远，孙茂松。词表示研究进展</w:t>
      </w:r>
      <w:r>
        <w:rPr>
          <w:rFonts w:hint="eastAsia"/>
          <w:sz w:val="24"/>
          <w:lang w:eastAsia="zh-CN"/>
        </w:rPr>
        <w:t>[</w:t>
      </w:r>
      <w:r>
        <w:rPr>
          <w:rFonts w:ascii="宋体" w:hAnsi="宋体" w:eastAsia="宋体"/>
          <w:sz w:val="24"/>
        </w:rPr>
        <w:t>J]. 中文信息学报，2015, 29 (1): 1-9.</w:t>
      </w:r>
    </w:p>
    <w:p w14:paraId="03926858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LEWIS P, PEREZ E, PIKTUS A, et al. Retrieval-augmented generation for knowledge-intensive NLP tasks</w:t>
      </w:r>
      <w:r>
        <w:rPr>
          <w:rFonts w:hint="eastAsia"/>
          <w:sz w:val="24"/>
          <w:lang w:eastAsia="zh-CN"/>
        </w:rPr>
        <w:t>[</w:t>
      </w:r>
      <w:r>
        <w:rPr>
          <w:rFonts w:ascii="宋体" w:hAnsi="宋体" w:eastAsia="宋体"/>
          <w:sz w:val="24"/>
        </w:rPr>
        <w:t>C]//Advances in Neural Information Processing Systems. Vancouver: NeurIPS, 2020.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4C1184"/>
    <w:multiLevelType w:val="singleLevel"/>
    <w:tmpl w:val="C34C1184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2916BF"/>
    <w:rsid w:val="1F0619A4"/>
    <w:rsid w:val="50DE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qFormat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3836</Words>
  <Characters>5328</Characters>
  <Lines>0</Lines>
  <Paragraphs>0</Paragraphs>
  <TotalTime>31</TotalTime>
  <ScaleCrop>false</ScaleCrop>
  <LinksUpToDate>false</LinksUpToDate>
  <CharactersWithSpaces>5736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樱.玖.</dc:creator>
  <cp:lastModifiedBy>樱.玖.</cp:lastModifiedBy>
  <cp:revision>1</cp:revision>
  <dcterms:created xsi:type="dcterms:W3CDTF">2013-12-23T23:15:00Z</dcterms:created>
  <dcterms:modified xsi:type="dcterms:W3CDTF">2026-06-15T12:24:33Z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eyJoZGlkIjoiZjFmZWIzNDg2MmIzZjExOTIzMmViNTBmYTMwYTk0ZWYiLCJ1c2VySWQiOiIxNDcwNDMwMDQ0In0=</vt:lpwstr>
  </property>
  <property fmtid="{D5CDD505-2E9C-101B-9397-08002B2CF9AE}" pid="3" name="KSOProductBuildVer">
    <vt:lpwstr>2052-12.1.0.26895</vt:lpwstr>
  </property>
  <property fmtid="{D5CDD505-2E9C-101B-9397-08002B2CF9AE}" pid="4" name="ICV">
    <vt:lpwstr>6865DAB071894AE7B675F0E9C86DDB2D_12</vt:lpwstr>
  </property>
</Properties>
</file>