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1F4E4A"/>
          <w:sz w:val="40"/>
        </w:rPr>
        <w:t>02 · 行业分析：连锁零售的补货与库存协同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707070"/>
          <w:sz w:val="21"/>
        </w:rPr>
        <w:t>拾光连锁 · 门店补货与库存协同 ｜ 行业分析报告 ｜ 2026-10-29</w:t>
      </w:r>
    </w:p>
    <w:p>
      <w:pPr>
        <w:spacing w:before="80" w:after="80" w:line="336" w:lineRule="auto"/>
        <w:ind w:left="340"/>
        <w:pBdr>
          <w:left w:val="single" w:sz="18" w:space="8" w:color="1F4E4A"/>
        </w:pBdr>
      </w:pPr>
      <w:r>
        <w:rPr>
          <w:rFonts w:ascii="宋体" w:hAnsi="宋体" w:eastAsia="宋体"/>
          <w:b w:val="0"/>
          <w:color w:val="4A5551"/>
          <w:sz w:val="21"/>
        </w:rPr>
        <w:t>分析对象：拾光连锁（48 家门店，华东三城，便利店/社区超市业态）所在赛道</w:t>
      </w:r>
    </w:p>
    <w:p>
      <w:pPr>
        <w:spacing w:before="80" w:after="80" w:line="336" w:lineRule="auto"/>
        <w:ind w:left="340"/>
        <w:pBdr>
          <w:left w:val="single" w:sz="18" w:space="8" w:color="1F4E4A"/>
        </w:pBdr>
      </w:pPr>
      <w:r>
        <w:rPr>
          <w:rFonts w:ascii="宋体" w:hAnsi="宋体" w:eastAsia="宋体"/>
          <w:b w:val="0"/>
          <w:color w:val="4A5551"/>
          <w:sz w:val="21"/>
        </w:rPr>
        <w:t>分析目的：判断「补货与库存协同」在行业中的位置、行业已有什么解法、我们要补的差距在哪</w:t>
      </w:r>
    </w:p>
    <w:p>
      <w:pPr>
        <w:spacing w:before="80" w:after="80" w:line="336" w:lineRule="auto"/>
        <w:ind w:left="340"/>
        <w:pBdr>
          <w:left w:val="single" w:sz="18" w:space="8" w:color="1F4E4A"/>
        </w:pBdr>
      </w:pPr>
      <w:r>
        <w:rPr>
          <w:rFonts w:ascii="宋体" w:hAnsi="宋体" w:eastAsia="宋体"/>
          <w:b w:val="0"/>
          <w:color w:val="4A5551"/>
          <w:sz w:val="21"/>
        </w:rPr>
        <w:t>数据截止：2026-10-29；引用来源见文末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一、行业边界与规模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拾光连锁属于</w:t>
      </w:r>
      <w:r>
        <w:rPr>
          <w:rFonts w:ascii="宋体" w:hAnsi="宋体" w:eastAsia="宋体"/>
          <w:b/>
          <w:sz w:val="24"/>
        </w:rPr>
        <w:t>连锁零售</w:t>
      </w:r>
      <w:r>
        <w:rPr>
          <w:rFonts w:ascii="宋体" w:hAnsi="宋体" w:eastAsia="宋体"/>
          <w:b w:val="0"/>
          <w:sz w:val="24"/>
        </w:rPr>
        <w:t>中的「便利店 + 社区超市」混合业态，核心经营单元是单店，核心经营动作是「订货—到货—陈列—销售—补货」。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 xml:space="preserve">中国连锁经营协会（CCFA）发布的「2024 年中国连锁 Top100」显示：2024 年 Top100 企业销售规模 </w:t>
      </w:r>
      <w:r>
        <w:rPr>
          <w:rFonts w:ascii="宋体" w:hAnsi="宋体" w:eastAsia="宋体"/>
          <w:b/>
          <w:sz w:val="24"/>
        </w:rPr>
        <w:t>2.13 万亿元</w:t>
      </w:r>
      <w:r>
        <w:rPr>
          <w:rFonts w:ascii="宋体" w:hAnsi="宋体" w:eastAsia="宋体"/>
          <w:b w:val="0"/>
          <w:sz w:val="24"/>
        </w:rPr>
        <w:t xml:space="preserve">，门店总数 </w:t>
      </w:r>
      <w:r>
        <w:rPr>
          <w:rFonts w:ascii="宋体" w:hAnsi="宋体" w:eastAsia="宋体"/>
          <w:b/>
          <w:sz w:val="24"/>
        </w:rPr>
        <w:t>25.72 万个</w:t>
      </w:r>
      <w:r>
        <w:rPr>
          <w:rFonts w:ascii="宋体" w:hAnsi="宋体" w:eastAsia="宋体"/>
          <w:b w:val="0"/>
          <w:sz w:val="24"/>
        </w:rPr>
        <w:t xml:space="preserve">，同比分别增长 </w:t>
      </w:r>
      <w:r>
        <w:rPr>
          <w:rFonts w:ascii="宋体" w:hAnsi="宋体" w:eastAsia="宋体"/>
          <w:b/>
          <w:sz w:val="24"/>
        </w:rPr>
        <w:t>4.9%</w:t>
      </w:r>
      <w:r>
        <w:rPr>
          <w:rFonts w:ascii="宋体" w:hAnsi="宋体" w:eastAsia="宋体"/>
          <w:b w:val="0"/>
          <w:sz w:val="24"/>
        </w:rPr>
        <w:t xml:space="preserve"> 和 </w:t>
      </w:r>
      <w:r>
        <w:rPr>
          <w:rFonts w:ascii="宋体" w:hAnsi="宋体" w:eastAsia="宋体"/>
          <w:b/>
          <w:sz w:val="24"/>
        </w:rPr>
        <w:t>13.5%</w:t>
      </w:r>
      <w:r>
        <w:rPr>
          <w:rFonts w:ascii="宋体" w:hAnsi="宋体" w:eastAsia="宋体"/>
          <w:b w:val="0"/>
          <w:sz w:val="24"/>
        </w:rPr>
        <w:t>。其中综合零售 46 家、超市 23 家、便利店 13 家、专业店 18 家；</w:t>
      </w:r>
      <w:r>
        <w:rPr>
          <w:rFonts w:ascii="宋体" w:hAnsi="宋体" w:eastAsia="宋体"/>
          <w:b/>
          <w:sz w:val="24"/>
        </w:rPr>
        <w:t>Top100 新增门店全部来自便利店和专业店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 xml:space="preserve">便利业态的单店密度更能说明问题：2024 年中国便利店 Top100 企业门店合计 </w:t>
      </w:r>
      <w:r>
        <w:rPr>
          <w:rFonts w:ascii="宋体" w:hAnsi="宋体" w:eastAsia="宋体"/>
          <w:b/>
          <w:sz w:val="24"/>
        </w:rPr>
        <w:t>19.6 万家</w:t>
      </w:r>
      <w:r>
        <w:rPr>
          <w:rFonts w:ascii="宋体" w:hAnsi="宋体" w:eastAsia="宋体"/>
          <w:b w:val="0"/>
          <w:sz w:val="24"/>
        </w:rPr>
        <w:t>，比上年净增 1.4 万家，增幅 7.7%；门店数过千的企业由 2023 年的 31 家增至 38 家。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对我们的含义</w:t>
      </w:r>
      <w:r>
        <w:rPr>
          <w:rFonts w:ascii="宋体" w:hAnsi="宋体" w:eastAsia="宋体"/>
          <w:b w:val="0"/>
          <w:sz w:val="24"/>
        </w:rPr>
        <w:t>：门店数在快速扩张，而单店销售增速在放缓（综合零售 19 家销售同比增长，仅 9 家实现销售与门店双增长）。这意味着行业的增长越来越依赖</w:t>
      </w:r>
      <w:r>
        <w:rPr>
          <w:rFonts w:ascii="宋体" w:hAnsi="宋体" w:eastAsia="宋体"/>
          <w:b/>
          <w:sz w:val="24"/>
        </w:rPr>
        <w:t>单店效率</w:t>
      </w:r>
      <w:r>
        <w:rPr>
          <w:rFonts w:ascii="宋体" w:hAnsi="宋体" w:eastAsia="宋体"/>
          <w:b w:val="0"/>
          <w:sz w:val="24"/>
        </w:rPr>
        <w:t>，而不是开店数量——补货与库存协同正是单店效率里最容易量化的一段。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二、政策与监管方向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《零售业创新提升工程实施方案》</w:t>
      </w:r>
      <w:r>
        <w:rPr>
          <w:rFonts w:ascii="宋体" w:hAnsi="宋体" w:eastAsia="宋体"/>
          <w:b w:val="0"/>
          <w:sz w:val="24"/>
        </w:rPr>
        <w:t>（2024 年底，商务部等 7 部门联合印发）：明确强调发展社区型商业、推动零售业创新提升。政策方向利好「贴近社区的小型门店 + 数字化提效」。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食品安全与效期管理</w:t>
      </w:r>
      <w:r>
        <w:rPr>
          <w:rFonts w:ascii="宋体" w:hAnsi="宋体" w:eastAsia="宋体"/>
          <w:b w:val="0"/>
          <w:sz w:val="24"/>
        </w:rPr>
        <w:t>：临期食品、冷藏冷冻温度记录、进货查验台账是监管重点。任何补货与调拨系统都必须保留</w:t>
      </w:r>
      <w:r>
        <w:rPr>
          <w:rFonts w:ascii="宋体" w:hAnsi="宋体" w:eastAsia="宋体"/>
          <w:b/>
          <w:sz w:val="24"/>
        </w:rPr>
        <w:t>可追溯的批次与效期字段</w:t>
      </w:r>
      <w:r>
        <w:rPr>
          <w:rFonts w:ascii="宋体" w:hAnsi="宋体" w:eastAsia="宋体"/>
          <w:b w:val="0"/>
          <w:sz w:val="24"/>
        </w:rPr>
        <w:t>，不能只做数量优化。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数据合规</w:t>
      </w:r>
      <w:r>
        <w:rPr>
          <w:rFonts w:ascii="宋体" w:hAnsi="宋体" w:eastAsia="宋体"/>
          <w:b w:val="0"/>
          <w:sz w:val="24"/>
        </w:rPr>
        <w:t>：会员与交易数据涉及个人信息保护，POS 明细需脱敏到「SKU-门店-日」粒度后再进入分析链路（本项目基线即采用该粒度）。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对我们的含义</w:t>
      </w:r>
      <w:r>
        <w:rPr>
          <w:rFonts w:ascii="宋体" w:hAnsi="宋体" w:eastAsia="宋体"/>
          <w:b w:val="0"/>
          <w:sz w:val="24"/>
        </w:rPr>
        <w:t>：效期与批次不是「加个字段」的可选项，而是合规底线。这直接约束了补货规则——临期库存</w:t>
      </w:r>
      <w:r>
        <w:rPr>
          <w:rFonts w:ascii="宋体" w:hAnsi="宋体" w:eastAsia="宋体"/>
          <w:b/>
          <w:sz w:val="24"/>
        </w:rPr>
        <w:t>禁止补货、只允许调拨或促销消化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三、业态结构与竞争压力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业态</w:t>
            </w:r>
          </w:p>
        </w:tc>
        <w:tc>
          <w:tcPr>
            <w:tcW w:type="dxa" w:w="302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现状（2024）</w:t>
            </w:r>
          </w:p>
        </w:tc>
        <w:tc>
          <w:tcPr>
            <w:tcW w:type="dxa" w:w="302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补货协同的典型特征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综合零售（大卖场）</w:t>
            </w:r>
          </w:p>
        </w:tc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增长压力最大，19 家销售同比增长</w:t>
            </w:r>
          </w:p>
        </w:tc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SKU 多、补货批量大、以仓配一体化为主</w:t>
            </w:r>
          </w:p>
        </w:tc>
      </w:tr>
      <w:tr>
        <w:tc>
          <w:tcPr>
            <w:tcW w:type="dxa" w:w="302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超市</w:t>
            </w:r>
          </w:p>
        </w:tc>
        <w:tc>
          <w:tcPr>
            <w:tcW w:type="dxa" w:w="302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经营渐有起色，单店能力提升</w:t>
            </w:r>
          </w:p>
        </w:tc>
        <w:tc>
          <w:tcPr>
            <w:tcW w:type="dxa" w:w="302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生鲜占比高，补货与损耗强耦合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便利店</w:t>
            </w:r>
          </w:p>
        </w:tc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销售额与门店数双增长，但增速放缓</w:t>
            </w:r>
          </w:p>
        </w:tc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高频小批量、SKU 窄而深、缺货敏感度最高</w:t>
            </w:r>
          </w:p>
        </w:tc>
      </w:tr>
      <w:tr>
        <w:tc>
          <w:tcPr>
            <w:tcW w:type="dxa" w:w="302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专业店</w:t>
            </w:r>
          </w:p>
        </w:tc>
        <w:tc>
          <w:tcPr>
            <w:tcW w:type="dxa" w:w="302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表现最好，销售额与门店数双位数增长</w:t>
            </w:r>
          </w:p>
        </w:tc>
        <w:tc>
          <w:tcPr>
            <w:tcW w:type="dxa" w:w="302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品类集中，补货规则相对简单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拾光连锁处在</w:t>
      </w:r>
      <w:r>
        <w:rPr>
          <w:rFonts w:ascii="宋体" w:hAnsi="宋体" w:eastAsia="宋体"/>
          <w:b/>
          <w:sz w:val="24"/>
        </w:rPr>
        <w:t>便利店 + 社区超市</w:t>
      </w:r>
      <w:r>
        <w:rPr>
          <w:rFonts w:ascii="宋体" w:hAnsi="宋体" w:eastAsia="宋体"/>
          <w:b w:val="0"/>
          <w:sz w:val="24"/>
        </w:rPr>
        <w:t>的交叉带：既要便利店的「高频小批量、缺货零容忍」，又要超市的「品类宽度与生鲜效期管理」。这类业态的补货难度高于纯便利店，也高于纯大卖场——因为</w:t>
      </w:r>
      <w:r>
        <w:rPr>
          <w:rFonts w:ascii="宋体" w:hAnsi="宋体" w:eastAsia="宋体"/>
          <w:b/>
          <w:sz w:val="24"/>
        </w:rPr>
        <w:t>单店 SKU 宽但单 SKU 销量低</w:t>
      </w:r>
      <w:r>
        <w:rPr>
          <w:rFonts w:ascii="宋体" w:hAnsi="宋体" w:eastAsia="宋体"/>
          <w:b w:val="0"/>
          <w:sz w:val="24"/>
        </w:rPr>
        <w:t>，人工经验最难覆盖长尾。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四、行业共性痛点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行业公开研究与一线实践反复出现四个问题，与本项目基线高度吻合：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1. 缺货与积压同时存在（结构性矛盾）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不是「总量不够」，而是「结构错配」：畅销品在 A 店缺货，同款在 B 店积压。根因通常不是预测，而是</w:t>
      </w:r>
      <w:r>
        <w:rPr>
          <w:rFonts w:ascii="宋体" w:hAnsi="宋体" w:eastAsia="宋体"/>
          <w:b/>
          <w:sz w:val="24"/>
        </w:rPr>
        <w:t>库存可视性不足</w:t>
      </w:r>
      <w:r>
        <w:rPr>
          <w:rFonts w:ascii="宋体" w:hAnsi="宋体" w:eastAsia="宋体"/>
          <w:b w:val="0"/>
          <w:sz w:val="24"/>
        </w:rPr>
        <w:t>——门店库存、在途库存、DC 库存三张表口径不一致。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2. 补货决策依赖老员工经验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长尾 SKU 无稳定规则，新人上手周期长；一旦关键岗位离职，补货质量立刻下滑。这是连锁扩张期最典型的瓶颈。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3. 跨店调拨缺乏决策依据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调拨常靠电话与人情，缺少「按周转、效期、距离、装载率综合评分」的规则，导致「一边报废一边缺货」。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4. 过程指标缺失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多数企业只看缺货率与周转天数两个结果指标，缺少处理时长、返工次数、版本正确率、采用率、人工复核成本这五项过程指标，导致</w:t>
      </w:r>
      <w:r>
        <w:rPr>
          <w:rFonts w:ascii="宋体" w:hAnsi="宋体" w:eastAsia="宋体"/>
          <w:b/>
          <w:sz w:val="24"/>
        </w:rPr>
        <w:t>问题无法定位到具体环节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80" w:after="80" w:line="336" w:lineRule="auto"/>
        <w:ind w:left="340"/>
        <w:pBdr>
          <w:left w:val="single" w:sz="18" w:space="8" w:color="1F4E4A"/>
        </w:pBdr>
      </w:pPr>
      <w:r>
        <w:rPr>
          <w:rFonts w:ascii="宋体" w:hAnsi="宋体" w:eastAsia="宋体"/>
          <w:b w:val="0"/>
          <w:color w:val="4A5551"/>
          <w:sz w:val="21"/>
        </w:rPr>
        <w:t>需要说明：行业公开的缺货率基准因口径差异很大（按 SKU-店-日、按金额、按品类各不相同），跨口径直接比较没有意义。本项目 12.4% 必须与自有口径对齐后再判断好坏，不宜直接对标外部数字。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五、标杆实践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企业/体系</w:t>
            </w:r>
          </w:p>
        </w:tc>
        <w:tc>
          <w:tcPr>
            <w:tcW w:type="dxa" w:w="2268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268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可借鉴点</w:t>
            </w:r>
          </w:p>
        </w:tc>
        <w:tc>
          <w:tcPr>
            <w:tcW w:type="dxa" w:w="2268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不可照搬处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7-Eleven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单品管理 + 共同配送 + 门店订货由店长主导，总部提供 POS 分析建议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「建议 + 人决策」的分工，不追求自动下单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依赖极强的加盟商培训与密集配送网络</w:t>
            </w:r>
          </w:p>
        </w:tc>
      </w:tr>
      <w:tr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全家 / 罗森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总部统一下发订货基准，门店在基准上微调（幅度受限）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用「基准 + 有限调整」控制长尾波动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需要成熟的商品主数据与陈列图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沃尔玛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VMI（供应商管理库存）+ CPFR 协同预测补货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把补货责任前移到供应商，降低门店负担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需要供应商系统对接能力，48 店规模不经济</w:t>
            </w:r>
          </w:p>
        </w:tc>
      </w:tr>
      <w:tr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盒马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门店即前置仓，线上线下一体化补货，算法驱动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用「店仓一体」把补货与履约合并考虑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重资产、强系统投入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奥乐齐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极简 SKU + 高周转 + 少量补货决策点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用「减 SKU」降低补货复杂度</w:t>
            </w:r>
          </w:p>
        </w:tc>
        <w:tc>
          <w:tcPr>
            <w:tcW w:type="dxa" w:w="2268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与拾光现有品类结构冲突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行业共识</w:t>
      </w:r>
      <w:r>
        <w:rPr>
          <w:rFonts w:ascii="宋体" w:hAnsi="宋体" w:eastAsia="宋体"/>
          <w:b w:val="0"/>
          <w:sz w:val="24"/>
        </w:rPr>
        <w:t xml:space="preserve">：领先企业的路径几乎都是 </w:t>
      </w:r>
      <w:r>
        <w:rPr>
          <w:rFonts w:ascii="宋体" w:hAnsi="宋体" w:eastAsia="宋体"/>
          <w:b/>
          <w:sz w:val="24"/>
        </w:rPr>
        <w:t>先流程数字化（信号、口径、单据）→ 再规则化（建议量、约束）→ 最后才上预测与优化模型</w:t>
      </w:r>
      <w:r>
        <w:rPr>
          <w:rFonts w:ascii="宋体" w:hAnsi="宋体" w:eastAsia="宋体"/>
          <w:b w:val="0"/>
          <w:sz w:val="24"/>
        </w:rPr>
        <w:t>。直接上预测模型而流程仍手工的案例，多数以「模型结果没人用」收场。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六、技术供给与价格带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81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代表产品</w:t>
            </w:r>
          </w:p>
        </w:tc>
        <w:tc>
          <w:tcPr>
            <w:tcW w:type="dxa" w:w="181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能力重心</w:t>
            </w:r>
          </w:p>
        </w:tc>
        <w:tc>
          <w:tcPr>
            <w:tcW w:type="dxa" w:w="181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价格带（估算）</w:t>
            </w:r>
          </w:p>
        </w:tc>
        <w:tc>
          <w:tcPr>
            <w:tcW w:type="dxa" w:w="1814"/>
            <w:shd w:val="clear" w:color="auto" w:fill="1F4E4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适配判断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国际供应链套件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Blue Yonder、RELEX、o9、SAP（CAR/F&amp;R）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需求预测 + 多级库存优化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年费百万起，实施周期 6–18 个月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48 店规模严重不经济</w:t>
            </w:r>
          </w:p>
        </w:tc>
      </w:tr>
      <w:tr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国内零售 ERP/中台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海鼎、思迅、富基等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进销存 + 订货 + 门店运营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年费 10–60 万，按店数计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可作为系统底座，但补货规则仍需定制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轻量补货 SaaS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多家中小厂商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缺货提醒 + 订货建议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年费 3–15 万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可作为过渡方案，扩展性受限</w:t>
            </w:r>
          </w:p>
        </w:tc>
      </w:tr>
      <w:tr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BI 与指标平台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观远、数势等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指标口径统一与看板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年费 5–30 万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解决「口径不一致」，不解决「决策」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自建（本项目路线）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自研规则引擎 + 现有 ERP 对接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贴合自有流程，可控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一次性 30–70 万 + 运维 15%/年</w:t>
            </w:r>
          </w:p>
        </w:tc>
        <w:tc>
          <w:tcPr>
            <w:tcW w:type="dxa" w:w="1814"/>
          </w:tcPr>
          <w:p>
            <w:pPr>
              <w:spacing w:before="40" w:after="4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推荐：先自建最小闭环，再评估采购</w:t>
            </w:r>
          </w:p>
        </w:tc>
      </w:tr>
    </w:tbl>
    <w:p>
      <w:pPr>
        <w:spacing w:after="80"/>
      </w:pPr>
    </w:p>
    <w:p>
      <w:pPr>
        <w:spacing w:before="80" w:after="80" w:line="336" w:lineRule="auto"/>
        <w:ind w:left="340"/>
        <w:pBdr>
          <w:left w:val="single" w:sz="18" w:space="8" w:color="1F4E4A"/>
        </w:pBdr>
      </w:pPr>
      <w:r>
        <w:rPr>
          <w:rFonts w:ascii="宋体" w:hAnsi="宋体" w:eastAsia="宋体"/>
          <w:b w:val="0"/>
          <w:color w:val="4A5551"/>
          <w:sz w:val="21"/>
        </w:rPr>
        <w:t>价格带为 2025–2026 年公开信息与厂商交流的区间估算，</w:t>
      </w:r>
      <w:r>
        <w:rPr>
          <w:rFonts w:ascii="宋体" w:hAnsi="宋体" w:eastAsia="宋体"/>
          <w:b/>
          <w:color w:val="4A5551"/>
          <w:sz w:val="21"/>
        </w:rPr>
        <w:t>须以正式报价为准</w:t>
      </w:r>
      <w:r>
        <w:rPr>
          <w:rFonts w:ascii="宋体" w:hAnsi="宋体" w:eastAsia="宋体"/>
          <w:b w:val="0"/>
          <w:color w:val="4A5551"/>
          <w:sz w:val="21"/>
        </w:rPr>
        <w:t>，不可作为采购依据。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技术趋势</w:t>
      </w:r>
      <w:r>
        <w:rPr>
          <w:rFonts w:ascii="宋体" w:hAnsi="宋体" w:eastAsia="宋体"/>
          <w:b w:val="0"/>
          <w:sz w:val="24"/>
        </w:rPr>
        <w:t>：① 补货从「预测驱动」转向「规则 + 例外管理」；② 大模型用于「解释建议」与「自然语言上报」，而不是直接算量；③ 门店端交互从 PC 转向手机/手持终端扫码；④ 指标平台与业务系统解耦，先统一口径再谈智能。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七、对本项目的启示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1. 我们的差距不在算法，在流程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行业领先者的共同点是「信号结构化、口径统一、单据可追溯」。拾光目前三段全靠手工（微信群上报、Excel 算量、电话调拨），这正是最大的、也最容易见效的差距。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2. 自建优于采购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48 店规模采购国际套件不经济；国内 ERP 的标准订货模块又无法覆盖「跨店调拨评分」与「效期硬约束」。先自建 P0 闭环（试点 30.1 万），验证后再决定是否替换为标准产品，风险最低。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3. 采购与自建的边界要提前划清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建议：</w:t>
      </w:r>
      <w:r>
        <w:rPr>
          <w:rFonts w:ascii="宋体" w:hAnsi="宋体" w:eastAsia="宋体"/>
          <w:b/>
          <w:sz w:val="24"/>
        </w:rPr>
        <w:t>商品主数据、POS、WMS 继续用现有系统</w:t>
      </w:r>
      <w:r>
        <w:rPr>
          <w:rFonts w:ascii="宋体" w:hAnsi="宋体" w:eastAsia="宋体"/>
          <w:b w:val="0"/>
          <w:sz w:val="24"/>
        </w:rPr>
        <w:t>；自建部分只做「决策与协同层」（建议量、复核、调拨评分、指标看板），通过接口读写，不替代底座。这样即使项目停止，也不会留下无法维护的孤岛。</w:t>
      </w:r>
    </w:p>
    <w:p>
      <w:pPr>
        <w:spacing w:line="360" w:lineRule="auto" w:after="80"/>
        <w:ind w:firstLine="420"/>
        <w:jc w:val="both"/>
      </w:pPr>
      <w:r>
        <w:rPr>
          <w:rFonts w:ascii="宋体" w:hAnsi="宋体" w:eastAsia="宋体"/>
          <w:b/>
          <w:sz w:val="24"/>
        </w:rPr>
        <w:t>4. 风险</w:t>
      </w:r>
    </w:p>
    <w:p>
      <w:pPr>
        <w:spacing w:line="348" w:lineRule="auto" w:after="60"/>
        <w:ind w:left="420" w:hanging="198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数据接口风险</w:t>
      </w:r>
      <w:r>
        <w:rPr>
          <w:rFonts w:ascii="宋体" w:hAnsi="宋体" w:eastAsia="宋体"/>
          <w:b w:val="0"/>
          <w:sz w:val="24"/>
        </w:rPr>
        <w:t>：在途与库存日快照若无法稳定提供，整个闭环不成立（已写入停止条件）。</w:t>
      </w:r>
    </w:p>
    <w:p>
      <w:pPr>
        <w:spacing w:line="348" w:lineRule="auto" w:after="60"/>
        <w:ind w:left="420" w:hanging="198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门店接受度风险</w:t>
      </w:r>
      <w:r>
        <w:rPr>
          <w:rFonts w:ascii="宋体" w:hAnsi="宋体" w:eastAsia="宋体"/>
          <w:b w:val="0"/>
          <w:sz w:val="24"/>
        </w:rPr>
        <w:t>：如果上报比微信群更麻烦，采用率会归零。MVP 必须做到「3 步内完成上报」。</w:t>
      </w:r>
    </w:p>
    <w:p>
      <w:pPr>
        <w:spacing w:line="348" w:lineRule="auto" w:after="60"/>
        <w:ind w:left="420" w:hanging="198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组织风险</w:t>
      </w:r>
      <w:r>
        <w:rPr>
          <w:rFonts w:ascii="宋体" w:hAnsi="宋体" w:eastAsia="宋体"/>
          <w:b w:val="0"/>
          <w:sz w:val="24"/>
        </w:rPr>
        <w:t>：计划员可能把「例外复核」理解为「被替代」，需要明确其角色升级为「规则维护者 + 例外裁决者」。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八、结论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1. 赛道仍在增长，但增长质量取决于单店效率，补货协同是效率改善中</w:t>
      </w:r>
      <w:r>
        <w:rPr>
          <w:rFonts w:ascii="宋体" w:hAnsi="宋体" w:eastAsia="宋体"/>
          <w:b/>
          <w:sz w:val="24"/>
        </w:rPr>
        <w:t>投入产出比最高</w:t>
      </w:r>
      <w:r>
        <w:rPr>
          <w:rFonts w:ascii="宋体" w:hAnsi="宋体" w:eastAsia="宋体"/>
          <w:b w:val="0"/>
          <w:sz w:val="24"/>
        </w:rPr>
        <w:t>的一段。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2. 行业的成熟路径是「流程数字化 → 规则化 → 模型化」，拾光目前卡在第一段，</w:t>
      </w:r>
      <w:r>
        <w:rPr>
          <w:rFonts w:ascii="宋体" w:hAnsi="宋体" w:eastAsia="宋体"/>
          <w:b/>
          <w:sz w:val="24"/>
        </w:rPr>
        <w:t>不应直接从预测模型切入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3. 政策与合规要求效期、批次可追溯，这决定了规则必须是</w:t>
      </w:r>
      <w:r>
        <w:rPr>
          <w:rFonts w:ascii="宋体" w:hAnsi="宋体" w:eastAsia="宋体"/>
          <w:b/>
          <w:sz w:val="24"/>
        </w:rPr>
        <w:t>硬约束</w:t>
      </w:r>
      <w:r>
        <w:rPr>
          <w:rFonts w:ascii="宋体" w:hAnsi="宋体" w:eastAsia="宋体"/>
          <w:b w:val="0"/>
          <w:sz w:val="24"/>
        </w:rPr>
        <w:t>而非软建议。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4. 48 店规模下，</w:t>
      </w:r>
      <w:r>
        <w:rPr>
          <w:rFonts w:ascii="宋体" w:hAnsi="宋体" w:eastAsia="宋体"/>
          <w:b/>
          <w:sz w:val="24"/>
        </w:rPr>
        <w:t>自建最小闭环 + 对接现有系统</w:t>
      </w:r>
      <w:r>
        <w:rPr>
          <w:rFonts w:ascii="宋体" w:hAnsi="宋体" w:eastAsia="宋体"/>
          <w:b w:val="0"/>
          <w:sz w:val="24"/>
        </w:rPr>
        <w:t>是当前最优解；国际套件与重型中台均不经济。</w:t>
      </w:r>
    </w:p>
    <w:p>
      <w:pPr>
        <w:spacing w:before="40" w:after="120"/>
        <w:pBdr>
          <w:bottom w:val="single" w:sz="4" w:color="C9D5D0"/>
        </w:pBdr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F4E4A"/>
          <w:sz w:val="30"/>
        </w:rPr>
        <w:t>引用来源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1. 中国连锁经营协会（CCFA），《2024 年中国连锁 Top100 发布》，http://www.ccfa.org.cn/portal/cn/xiangxi.jsp?id=446620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2. 中国连锁经营协会，2025 中国便利店大会（2024 年中国便利店行业基本情况调查结果），http://www.ccfa.org.cn/portal/cn/xiangxi.jsp?id=446569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3. 商务部等 7 部门，《零售业创新提升工程实施方案》，2024 年底印发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4. 中国网，《2024 年中国连锁 Top100 发布 销售规模超 2 万亿元》，https://cn.chinagate.cn/news/2025-06/23/content_117942078.shtml</w:t>
      </w:r>
    </w:p>
    <w:p>
      <w:pPr>
        <w:spacing w:line="348" w:lineRule="auto" w:after="60"/>
        <w:ind w:left="420" w:hanging="227"/>
      </w:pPr>
      <w:r>
        <w:rPr>
          <w:rFonts w:ascii="宋体" w:hAnsi="宋体" w:eastAsia="宋体"/>
          <w:b w:val="0"/>
          <w:sz w:val="24"/>
        </w:rPr>
        <w:t>5. 国际供应链套件与国内零售软件的价格带：来自公开资料与厂商交流的区间估算，仅供量级参考</w:t>
      </w:r>
    </w:p>
    <w:p>
      <w:pPr>
        <w:spacing w:before="80" w:after="80" w:line="336" w:lineRule="auto"/>
        <w:ind w:left="340"/>
        <w:pBdr>
          <w:left w:val="single" w:sz="18" w:space="8" w:color="1F4E4A"/>
        </w:pBdr>
      </w:pPr>
      <w:r>
        <w:rPr>
          <w:rFonts w:ascii="宋体" w:hAnsi="宋体" w:eastAsia="宋体"/>
          <w:b w:val="0"/>
          <w:color w:val="4A5551"/>
          <w:sz w:val="21"/>
        </w:rPr>
        <w:t>说明：本文引用的行业数据均为公开二手资料，口径以原发布方为准；涉及拾光连锁自身的数字，均来自 `01-业务挖掘.md` 的证据台账（EV-01 ~ EV-15），其中估算项已标注。</w:t>
      </w:r>
    </w:p>
    <w:sectPr w:rsidR="00FC693F" w:rsidRPr="0006063C" w:rsidSect="00034616">
      <w:footerReference w:type="default" r:id="rId9"/>
      <w:pgSz w:w="11906" w:h="16838"/>
      <w:pgMar w:top="1417" w:right="1361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— </w:t>
    </w:r>
    <w:r/>
    <w:fldSimple w:instr="PAGE"/>
    <w:r>
      <w:rPr>
        <w:rFonts w:ascii="宋体" w:hAnsi="宋体" w:eastAsia="宋体"/>
        <w:color w:val="808080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