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140"/>
        <w:rPr/>
      </w:pPr>
      <w:r>
        <w:rPr/>
        <w:t>4. Антифрод без прослушки</w:t>
      </w:r>
    </w:p>
    <w:p>
      <w:pPr>
        <w:pStyle w:val="Normal"/>
        <w:spacing w:lineRule="auto" w:line="256" w:before="0" w:after="200"/>
        <w:rPr/>
      </w:pPr>
      <w:r>
        <w:rPr>
          <w:i/>
          <w:iCs/>
          <w:color w:val="73726C"/>
        </w:rPr>
        <w:t>Скоринг вызовов по одним метаданным</w:t>
      </w:r>
    </w:p>
    <w:p>
      <w:pPr>
        <w:pStyle w:val="Heading3"/>
        <w:spacing w:before="110" w:after="55"/>
        <w:rPr/>
      </w:pPr>
      <w:r>
        <w:rPr/>
        <w:t>Что болит</w:t>
      </w:r>
    </w:p>
    <w:p>
      <w:pPr>
        <w:pStyle w:val="Normal"/>
        <w:spacing w:lineRule="auto" w:line="256" w:before="0" w:after="100"/>
        <w:rPr/>
      </w:pPr>
      <w:r>
        <w:rPr/>
        <w:t>Маркировку корпоративных звонков признали неэффективной на уровне ИТ-комитета Госдумы. Метка просто подтягивает запись из базы и никак не подтверждает, кто на самом деле звонит. Регуляторный слой есть, поведенческого не хватает.</w:t>
      </w:r>
    </w:p>
    <w:p>
      <w:pPr>
        <w:pStyle w:val="Heading3"/>
        <w:spacing w:before="110" w:after="55"/>
        <w:rPr/>
      </w:pPr>
      <w:r>
        <w:rPr/>
        <w:t>Ограничение, которое и делает задачу интересной</w:t>
      </w:r>
    </w:p>
    <w:p>
      <w:pPr>
        <w:pStyle w:val="Normal"/>
        <w:spacing w:lineRule="auto" w:line="256" w:before="0" w:after="100"/>
        <w:rPr/>
      </w:pPr>
      <w:r>
        <w:rPr/>
        <w:t>Содержимого разговора нет. Ни записи, ни расшифровки, ни одного слова. Есть только «конверт» вызова — то, что оператор и так видит в сигнализации. Отличить мошенника от обычного человека нужно по нему.</w:t>
      </w:r>
    </w:p>
    <w:p>
      <w:pPr>
        <w:pStyle w:val="Heading3"/>
        <w:spacing w:before="110" w:after="55"/>
        <w:rPr/>
      </w:pPr>
      <w:r>
        <w:rPr/>
        <w:t>Из чего строятся признаки</w:t>
      </w:r>
    </w:p>
    <w:p>
      <w:pPr>
        <w:pStyle w:val="ListParagraph"/>
        <w:numPr>
          <w:ilvl w:val="0"/>
          <w:numId w:val="1"/>
        </w:numPr>
        <w:spacing w:lineRule="auto" w:line="256" w:before="0" w:after="60"/>
        <w:rPr/>
      </w:pPr>
      <w:r>
        <w:rPr>
          <w:b/>
          <w:bCs/>
        </w:rPr>
        <w:t xml:space="preserve">По вызову: </w:t>
      </w:r>
      <w:r>
        <w:rPr/>
        <w:t>длительность, время суток, тип соединения, страна и оператор источника, отбой на первой секунде.</w:t>
      </w:r>
    </w:p>
    <w:p>
      <w:pPr>
        <w:pStyle w:val="ListParagraph"/>
        <w:numPr>
          <w:ilvl w:val="0"/>
          <w:numId w:val="1"/>
        </w:numPr>
        <w:spacing w:lineRule="auto" w:line="256" w:before="0" w:after="60"/>
        <w:rPr/>
      </w:pPr>
      <w:r>
        <w:rPr>
          <w:b/>
          <w:bCs/>
        </w:rPr>
        <w:t xml:space="preserve">По номеру за окно времени: </w:t>
      </w:r>
      <w:r>
        <w:rPr/>
        <w:t>вызовов в час, уникальных собеседников, охват регионов, доля коротких и доля неотвеченных.</w:t>
      </w:r>
    </w:p>
    <w:p>
      <w:pPr>
        <w:pStyle w:val="ListParagraph"/>
        <w:numPr>
          <w:ilvl w:val="0"/>
          <w:numId w:val="1"/>
        </w:numPr>
        <w:spacing w:lineRule="auto" w:line="256" w:before="0" w:after="60"/>
        <w:rPr/>
      </w:pPr>
      <w:r>
        <w:rPr>
          <w:b/>
          <w:bCs/>
        </w:rPr>
        <w:t xml:space="preserve">По графу связей: </w:t>
      </w:r>
      <w:r>
        <w:rPr/>
        <w:t>сколько номеров на одного абонента, есть ли «веер» — группа номеров, обзванивающая непересекающиеся списки по одному шаблону.</w:t>
      </w:r>
    </w:p>
    <w:p>
      <w:pPr>
        <w:pStyle w:val="Heading3"/>
        <w:spacing w:before="110" w:after="55"/>
        <w:rPr/>
      </w:pPr>
      <w:r>
        <w:rPr/>
        <w:t>Обязательное требование — объяснимость</w:t>
      </w:r>
    </w:p>
    <w:p>
      <w:pPr>
        <w:pStyle w:val="Normal"/>
        <w:spacing w:lineRule="auto" w:line="256" w:before="0" w:after="100"/>
        <w:rPr/>
      </w:pPr>
      <w:r>
        <w:rPr/>
        <w:t>Оператору бесполезен ответ «0,87». Нужны факторы с их вкладом, иначе решение нельзя ни отладить, ни защитить перед регулятором.</w:t>
      </w:r>
    </w:p>
    <w:p>
      <w:pPr>
        <w:pStyle w:val="Heading3"/>
        <w:spacing w:before="110" w:after="55"/>
        <w:rPr/>
      </w:pPr>
      <w:r>
        <w:rPr/>
        <w:t>Как выглядит результат</w:t>
      </w:r>
    </w:p>
    <w:p>
      <w:pPr>
        <w:pStyle w:val="Normal"/>
        <w:spacing w:lineRule="auto" w:line="256" w:before="0" w:after="100"/>
        <w:rPr/>
      </w:pPr>
      <w:r>
        <w:rPr/>
        <w:t>Вызов +7 495 ***-**-12 → +7 916 ***-**-83, 14 октября 11:42, длительность 6 секунд, вход из-за рубежа.</w:t>
      </w:r>
    </w:p>
    <w:p>
      <w:pPr>
        <w:pStyle w:val="Normal"/>
        <w:spacing w:lineRule="auto" w:line="249" w:before="0" w:after="170"/>
        <w:rPr>
          <w:i/>
          <w:i/>
          <w:iCs/>
          <w:color w:val="73726C"/>
          <w:sz w:val="18"/>
          <w:szCs w:val="18"/>
        </w:rPr>
      </w:pPr>
      <w:r>
        <w:rPr/>
        <w:drawing>
          <wp:inline distT="0" distB="0" distL="0" distR="0">
            <wp:extent cx="6163310" cy="3202305"/>
            <wp:effectExtent l="0" t="0" r="0" b="0"/>
            <wp:docPr id="1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3202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9" w:before="0" w:after="170"/>
        <w:rPr/>
      </w:pPr>
      <w:r>
        <w:rPr>
          <w:i/>
          <w:iCs/>
          <w:color w:val="73726C"/>
          <w:sz w:val="18"/>
          <w:szCs w:val="18"/>
        </w:rPr>
        <w:t>Последняя строка не случайна: автоблокировка по скорингу — это отдельное решение с отдельной ценой ошибки.</w:t>
      </w:r>
    </w:p>
    <w:p>
      <w:pPr>
        <w:pStyle w:val="Heading3"/>
        <w:spacing w:before="110" w:after="55"/>
        <w:rPr/>
      </w:pPr>
      <w:r>
        <w:rPr/>
        <w:t>Как оцениваем</w:t>
      </w:r>
    </w:p>
    <w:p>
      <w:pPr>
        <w:pStyle w:val="Normal"/>
        <w:spacing w:lineRule="auto" w:line="256" w:before="0" w:after="100"/>
        <w:rPr/>
      </w:pPr>
      <w:r>
        <w:rPr/>
        <w:t>на закрытом наборе, но с явным акцентом на долю ложных срабатываний. В ТЗ стоит прямо задать вопрос: что произойдёт, если ваша система заблокирует вызов скорой помощи. Команды, которые на него ответят, видно сразу.</w:t>
      </w:r>
    </w:p>
    <w:p>
      <w:pPr>
        <w:pStyle w:val="Normal"/>
        <w:spacing w:lineRule="auto" w:line="256" w:before="0" w:after="100"/>
        <w:rPr/>
      </w:pPr>
      <w:r>
        <w:rPr>
          <w:b/>
          <w:bCs/>
        </w:rPr>
        <w:t xml:space="preserve">Стек: </w:t>
      </w:r>
      <w:r>
        <w:rPr/>
        <w:t>Python, CatBoost или scikit-learn, NetworkX для графовых признаков, FastAPI для сервиса.</w:t>
      </w:r>
      <w:bookmarkStart w:id="0" w:name="_GoBack"/>
      <w:bookmarkEnd w:id="0"/>
    </w:p>
    <w:sectPr>
      <w:type w:val="nextPage"/>
      <w:pgSz w:w="11906" w:h="16838"/>
      <w:pgMar w:left="1100" w:right="1100" w:gutter="0" w:header="0" w:top="900" w:footer="0" w:bottom="90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left"/>
      <w:pPr>
        <w:tabs>
          <w:tab w:val="num" w:pos="0"/>
        </w:tabs>
        <w:ind w:left="360" w:hanging="20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2C2C2A"/>
        <w:sz w:val="21"/>
        <w:szCs w:val="21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2C2C2A"/>
      <w:kern w:val="0"/>
      <w:sz w:val="21"/>
      <w:szCs w:val="21"/>
      <w:lang w:val="ru-RU" w:eastAsia="ru-RU" w:bidi="ar-SA"/>
    </w:rPr>
  </w:style>
  <w:style w:type="paragraph" w:styleId="Heading1">
    <w:name w:val="heading 1"/>
    <w:uiPriority w:val="9"/>
    <w:qFormat/>
    <w:pPr>
      <w:widowControl/>
      <w:bidi w:val="0"/>
      <w:spacing w:before="280" w:after="140"/>
      <w:jc w:val="left"/>
      <w:outlineLvl w:val="0"/>
    </w:pPr>
    <w:rPr>
      <w:rFonts w:ascii="Calibri" w:hAnsi="Calibri" w:eastAsia="Calibri" w:cs="Calibri"/>
      <w:b/>
      <w:bCs/>
      <w:color w:val="2C2C2A"/>
      <w:kern w:val="0"/>
      <w:sz w:val="32"/>
      <w:szCs w:val="32"/>
      <w:lang w:val="ru-RU" w:eastAsia="ru-RU" w:bidi="ar-SA"/>
    </w:rPr>
  </w:style>
  <w:style w:type="paragraph" w:styleId="Heading2">
    <w:name w:val="heading 2"/>
    <w:uiPriority w:val="9"/>
    <w:unhideWhenUsed/>
    <w:qFormat/>
    <w:pPr>
      <w:widowControl/>
      <w:bidi w:val="0"/>
      <w:spacing w:before="200" w:after="100"/>
      <w:jc w:val="left"/>
      <w:outlineLvl w:val="1"/>
    </w:pPr>
    <w:rPr>
      <w:rFonts w:ascii="Calibri" w:hAnsi="Calibri" w:eastAsia="Calibri" w:cs="Calibri"/>
      <w:b/>
      <w:bCs/>
      <w:color w:val="2C2C2A"/>
      <w:kern w:val="0"/>
      <w:sz w:val="26"/>
      <w:szCs w:val="26"/>
      <w:lang w:val="ru-RU" w:eastAsia="ru-RU" w:bidi="ar-SA"/>
    </w:rPr>
  </w:style>
  <w:style w:type="paragraph" w:styleId="Heading3">
    <w:name w:val="heading 3"/>
    <w:uiPriority w:val="9"/>
    <w:unhideWhenUsed/>
    <w:qFormat/>
    <w:pPr>
      <w:widowControl/>
      <w:bidi w:val="0"/>
      <w:spacing w:before="110" w:after="60"/>
      <w:jc w:val="left"/>
      <w:outlineLvl w:val="2"/>
    </w:pPr>
    <w:rPr>
      <w:rFonts w:ascii="Calibri" w:hAnsi="Calibri" w:eastAsia="Calibri" w:cs="Calibri"/>
      <w:b/>
      <w:bCs/>
      <w:color w:val="5F5E5A"/>
      <w:kern w:val="0"/>
      <w:sz w:val="23"/>
      <w:szCs w:val="23"/>
      <w:lang w:val="ru-RU" w:eastAsia="ru-RU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left"/>
      <w:outlineLvl w:val="3"/>
    </w:pPr>
    <w:rPr>
      <w:rFonts w:ascii="Calibri" w:hAnsi="Calibri" w:eastAsia="Calibri" w:cs="Calibri"/>
      <w:i/>
      <w:iCs/>
      <w:color w:val="2E74B5"/>
      <w:kern w:val="0"/>
      <w:sz w:val="21"/>
      <w:szCs w:val="21"/>
      <w:lang w:val="ru-RU" w:eastAsia="ru-RU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left"/>
      <w:outlineLvl w:val="4"/>
    </w:pPr>
    <w:rPr>
      <w:rFonts w:ascii="Calibri" w:hAnsi="Calibri" w:eastAsia="Calibri" w:cs="Calibri"/>
      <w:color w:val="2E74B5"/>
      <w:kern w:val="0"/>
      <w:sz w:val="21"/>
      <w:szCs w:val="21"/>
      <w:lang w:val="ru-RU" w:eastAsia="ru-RU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left"/>
      <w:outlineLvl w:val="5"/>
    </w:pPr>
    <w:rPr>
      <w:rFonts w:ascii="Calibri" w:hAnsi="Calibri" w:eastAsia="Calibri" w:cs="Calibri"/>
      <w:color w:val="1F4D78"/>
      <w:kern w:val="0"/>
      <w:sz w:val="21"/>
      <w:szCs w:val="21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Noto Sans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2C2C2A"/>
      <w:kern w:val="0"/>
      <w:sz w:val="56"/>
      <w:szCs w:val="56"/>
      <w:lang w:val="ru-RU" w:eastAsia="ru-RU" w:bidi="ar-SA"/>
    </w:rPr>
  </w:style>
  <w:style w:type="paragraph" w:styleId="Strong1" w:customStyle="1">
    <w:name w:val="Strong1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2C2C2A"/>
      <w:kern w:val="0"/>
      <w:sz w:val="21"/>
      <w:szCs w:val="21"/>
      <w:lang w:val="ru-RU" w:eastAsia="ru-RU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2C2C2A"/>
      <w:kern w:val="0"/>
      <w:sz w:val="21"/>
      <w:szCs w:val="21"/>
      <w:lang w:val="ru-RU" w:eastAsia="ru-RU" w:bidi="ar-SA"/>
    </w:rPr>
  </w:style>
  <w:style w:type="paragraph" w:styleId="FootnoteText">
    <w:name w:val="footnote text"/>
    <w:link w:val="FootnoteTextChar"/>
    <w:uiPriority w:val="99"/>
    <w:semiHidden/>
    <w:unhideWhenUsed/>
    <w:pPr>
      <w:widowControl/>
      <w:bidi w:val="0"/>
      <w:spacing w:before="0" w:after="0"/>
      <w:jc w:val="left"/>
    </w:pPr>
    <w:rPr>
      <w:rFonts w:ascii="Calibri" w:hAnsi="Calibri" w:eastAsia="Calibri" w:cs="Calibri"/>
      <w:color w:val="2C2C2A"/>
      <w:kern w:val="0"/>
      <w:sz w:val="20"/>
      <w:szCs w:val="20"/>
      <w:lang w:val="ru-RU" w:eastAsia="ru-RU" w:bidi="ar-SA"/>
    </w:rPr>
  </w:style>
  <w:style w:type="paragraph" w:styleId="EndnoteText">
    <w:name w:val="endnote text"/>
    <w:link w:val="EndnoteTextChar"/>
    <w:uiPriority w:val="99"/>
    <w:semiHidden/>
    <w:unhideWhenUsed/>
    <w:pPr>
      <w:widowControl/>
      <w:bidi w:val="0"/>
      <w:spacing w:before="0" w:after="0"/>
      <w:jc w:val="left"/>
    </w:pPr>
    <w:rPr>
      <w:rFonts w:ascii="Calibri" w:hAnsi="Calibri" w:eastAsia="Calibri" w:cs="Calibri"/>
      <w:color w:val="2C2C2A"/>
      <w:kern w:val="0"/>
      <w:sz w:val="20"/>
      <w:szCs w:val="20"/>
      <w:lang w:val="ru-RU" w:eastAsia="ru-RU" w:bidi="ar-SA"/>
    </w:rPr>
  </w:style>
  <w:style w:type="numbering" w:styleId="Style12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LibreOffice/24.8.5.2$Linux_X86_64 LibreOffice_project/480$Build-2</Application>
  <AppVersion>15.0000</AppVersion>
  <Pages>1</Pages>
  <Words>237</Words>
  <Characters>1435</Characters>
  <CharactersWithSpaces>1655</CharactersWithSpaces>
  <Paragraphs>19</Paragraphs>
  <Company>Nexign-Systems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2026-08-27T14:35:00Z</dcterms:created>
  <dc:creator>Un-named</dc:creator>
  <dc:description/>
  <dc:language>ru-RU</dc:language>
  <cp:lastModifiedBy/>
  <dcterms:modified xsi:type="dcterms:W3CDTF">2026-09-28T15:24:13Z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