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jc w:val="center"/>
        <w:rPr>
          <w:rFonts w:ascii="宋体" w:hAnsi="宋体" w:cs="宋体"/>
          <w:sz w:val="24"/>
        </w:rPr>
      </w:pPr>
      <w:r>
        <w:drawing>
          <wp:inline xmlns:a="http://schemas.openxmlformats.org/drawingml/2006/main" xmlns:pic="http://schemas.openxmlformats.org/drawingml/2006/picture">
            <wp:extent cx="918394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839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tcBorders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tcBorders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  <w:bookmarkStart w:id="50" w:name="_GoBack"/>
      <w:bookmarkEnd w:id="50"/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w:type="default" r:id="rId6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黑体" w:cs="Arial"/>
          <w:sz w:val="28"/>
        </w:rPr>
        <w:t>第一章 概述</w:t>
      </w:r>
      <w:r>
        <w:rPr>
          <w:rFonts w:ascii="Times New Roman" w:hAnsi="Times New Roman" w:eastAsia="宋体" w:cs="Times New Roman"/>
          <w:sz w:val="28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1.1 部署形态</w:t>
      </w:r>
      <w:r>
        <w:rPr>
          <w:rFonts w:ascii="Times New Roman" w:hAnsi="Times New Roman" w:eastAsia="宋体" w:cs="Times New Roman"/>
          <w:sz w:val="24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1.2 运行模式</w:t>
      </w:r>
      <w:r>
        <w:rPr>
          <w:rFonts w:ascii="Times New Roman" w:hAnsi="Times New Roman" w:eastAsia="宋体" w:cs="Times New Roman"/>
          <w:sz w:val="24"/>
        </w:rPr>
        <w:tab/>
        <w:t>2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第二章 环境要求</w:t>
      </w:r>
      <w:r>
        <w:rPr>
          <w:rFonts w:ascii="Times New Roman" w:hAnsi="Times New Roman" w:eastAsia="宋体" w:cs="Times New Roman"/>
          <w:sz w:val="28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2.1 硬件要求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2.2 软件要求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2.3 网络要求</w:t>
      </w:r>
      <w:r>
        <w:rPr>
          <w:rFonts w:ascii="Times New Roman" w:hAnsi="Times New Roman" w:eastAsia="宋体" w:cs="Times New Roman"/>
          <w:sz w:val="24"/>
        </w:rPr>
        <w:tab/>
        <w:t>4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第三章 程序包结构</w:t>
      </w:r>
      <w:r>
        <w:rPr>
          <w:rFonts w:ascii="Times New Roman" w:hAnsi="Times New Roman" w:eastAsia="宋体" w:cs="Times New Roman"/>
          <w:sz w:val="28"/>
        </w:rPr>
        <w:tab/>
        <w:t>5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第四章 部署实现</w:t>
      </w:r>
      <w:r>
        <w:rPr>
          <w:rFonts w:ascii="Times New Roman" w:hAnsi="Times New Roman" w:eastAsia="宋体" w:cs="Times New Roman"/>
          <w:sz w:val="28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4.1 Windows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4.2 Linux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4.3 上游接口配置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4.4 快镜配置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4.5 慢镜配置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4.6 部署验证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4.7 多 MCP 服务器配置</w:t>
        <w:tab/>
        <w:t>8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第五章 运行与使用</w:t>
      </w:r>
      <w:r>
        <w:rPr>
          <w:rFonts w:ascii="Times New Roman" w:hAnsi="Times New Roman" w:eastAsia="宋体" w:cs="Times New Roman"/>
          <w:sz w:val="28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5.1 安全控制台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5.2 网页审批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5.3 命令行运行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5.4 安全边界与运维说明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5.5 常见问题</w:t>
      </w:r>
      <w:r>
        <w:rPr>
          <w:rFonts w:ascii="Times New Roman" w:hAnsi="Times New Roman" w:eastAsia="宋体" w:cs="Times New Roman"/>
          <w:sz w:val="24"/>
        </w:rPr>
        <w:tab/>
        <w:t>12</w:t>
      </w:r>
      <w:r>
        <w:fldChar w:fldCharType="end"/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5.6 自由对话与双路对决</w:t>
        <w:tab/>
        <w:t>13</w:t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>
      <w:pPr>
        <w:pStyle w:val="2"/>
        <w:keepNext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第一章 概述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1.1 部署形态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>
      <w:pPr>
        <w:keepNext/>
        <w:snapToGrid w:val="0"/>
        <w:spacing w:before="12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1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841"/>
        <w:gridCol w:w="3181"/>
        <w:gridCol w:w="3708"/>
      </w:tblGrid>
      <w:tr>
        <w:trPr>
          <w:tblHeader w:val="true"/>
          <w:cantSplit/>
        </w:trPr>
        <w:tc>
          <w:tcPr>
            <w:tcW w:type="dxa" w:w="184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type="dxa" w:w="318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type="dxa" w:w="370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防护主机，默认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http://127.0.0.1:8768/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1.2 运行模式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第二章 环境要求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2.1 硬件要求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防护主机的最低配置为 4 核 CPU、8 GB 内存与 10 GB 可用磁盘；快镜推理可使用 GPU，也可仅使用 CPU。</w:t>
      </w:r>
      <w:r>
        <w:rPr>
          <w:rFonts w:ascii="Times New Roman" w:hAnsi="Times New Roman" w:eastAsia="宋体" w:cs="Times New Roman"/>
          <w:b w:val="0"/>
          <w:sz w:val="24"/>
        </w:rPr>
        <w:t>各角色的硬件要求如表 2-1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302"/>
        <w:gridCol w:w="2326"/>
        <w:gridCol w:w="1942"/>
        <w:gridCol w:w="3159"/>
      </w:tblGrid>
      <w:tr>
        <w:trPr>
          <w:tblHeader w:val="true"/>
          <w:cantSplit/>
        </w:trPr>
        <w:tc>
          <w:tcPr>
            <w:tcW w:type="dxa" w:w="130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type="dxa" w:w="232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type="dxa" w:w="1943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type="dxa" w:w="3159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8 GB，支持 BF16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NVIDIA A100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单次推理约占用 1.4 GB 显存，推理耗时中位数 29 ms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线程下推理耗时中位数 172 ms，适用于演示与低频场景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A100 80GB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仅在重新训练领域模型时需要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2.2 软件要求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420"/>
        <w:gridCol w:w="6310"/>
      </w:tblGrid>
      <w:tr>
        <w:trPr>
          <w:tblHeader w:val="true"/>
          <w:cantSplit/>
        </w:trPr>
        <w:tc>
          <w:tcPr>
            <w:tcW w:type="dxa" w:w="242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type="dxa" w:w="631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Linux（83 场景评测在 Linux 上进行，并在 Windows 上进行了功能验证）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0.85.1，由安装脚本安装在程序目录内，不影响全局环境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3083"/>
        <w:gridCol w:w="2235"/>
        <w:gridCol w:w="3411"/>
      </w:tblGrid>
      <w:tr>
        <w:trPr>
          <w:tblHeader w:val="true"/>
          <w:cantSplit/>
        </w:trPr>
        <w:tc>
          <w:tcPr>
            <w:tcW w:type="dxa" w:w="308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type="dxa" w:w="223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type="dxa" w:w="341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程序包附带的快镜权重是防护模型，不能替代 Pi 所使用的上游大模型；完整运行模式必须另行提供一个可用的上游大模型接口。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2.3 网络要求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第三章 程序包结构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4132"/>
        <w:gridCol w:w="4598"/>
      </w:tblGrid>
      <w:tr>
        <w:trPr>
          <w:tblHeader w:val="true"/>
          <w:cantSplit/>
        </w:trPr>
        <w:tc>
          <w:tcPr>
            <w:tcW w:type="dxa" w:w="413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type="dxa" w:w="459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个评测场景及演示场景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快镜 D²Guard-Laya 权重与原版 Laya 基线权重，各附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SHA256SUMS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acceptance/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run_evaluation.py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verify_v2.py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本地配置目录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、虚拟环境与缓存文件不进入程序包，每台主机在安装时重新生成。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第四章 部署实现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4.1 Windows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（2）双击程序目录中的 </w:t>
      </w:r>
      <w:r>
        <w:rPr>
          <w:rFonts w:ascii="Times New Roman" w:hAnsi="Times New Roman" w:eastAsia="宋体" w:cs="Times New Roman"/>
          <w:b w:val="0"/>
          <w:sz w:val="24"/>
        </w:rPr>
        <w:t>setup-windows.bat</w:t>
      </w:r>
      <w:r>
        <w:rPr>
          <w:rFonts w:ascii="Times New Roman" w:hAnsi="Times New Roman" w:eastAsia="宋体" w:cs="Times New Roman"/>
          <w:b w:val="0"/>
          <w:sz w:val="24"/>
        </w:rPr>
        <w:t xml:space="preserve">。脚本优先使用 Python 3.12，创建独立的虚拟环境 </w:t>
      </w:r>
      <w:r>
        <w:rPr>
          <w:rFonts w:ascii="Times New Roman" w:hAnsi="Times New Roman" w:eastAsia="宋体" w:cs="Times New Roman"/>
          <w:b w:val="0"/>
          <w:sz w:val="24"/>
        </w:rPr>
        <w:t>.venv-windows</w:t>
      </w:r>
      <w:r>
        <w:rPr>
          <w:rFonts w:ascii="Times New Roman" w:hAnsi="Times New Roman" w:eastAsia="宋体" w:cs="Times New Roman"/>
          <w:b w:val="0"/>
          <w:sz w:val="24"/>
        </w:rPr>
        <w:t>，安装 Python 依赖，在程序目录内安装固定版本的 Pi，并依次提示输入上游模型接口地址、API 密钥、模型名称与接口类型。首次安装需要联网，已有配置会被保留。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（3）双击 </w:t>
      </w:r>
      <w:r>
        <w:rPr>
          <w:rFonts w:ascii="Times New Roman" w:hAnsi="Times New Roman" w:eastAsia="宋体" w:cs="Times New Roman"/>
          <w:b w:val="0"/>
          <w:sz w:val="24"/>
        </w:rPr>
        <w:t>start-console.bat</w:t>
      </w:r>
      <w:r>
        <w:rPr>
          <w:rFonts w:ascii="Times New Roman" w:hAnsi="Times New Roman" w:eastAsia="宋体" w:cs="Times New Roman"/>
          <w:b w:val="0"/>
          <w:sz w:val="24"/>
        </w:rPr>
        <w:t xml:space="preserve">，在浏览器中打开 </w:t>
      </w:r>
      <w:r>
        <w:rPr>
          <w:rFonts w:ascii="Times New Roman" w:hAnsi="Times New Roman" w:eastAsia="宋体" w:cs="Times New Roman"/>
          <w:b w:val="0"/>
          <w:sz w:val="24"/>
        </w:rPr>
        <w:t>http://127.0.0.1:8768/</w:t>
      </w:r>
      <w:r>
        <w:rPr>
          <w:rFonts w:ascii="Times New Roman" w:hAnsi="Times New Roman" w:eastAsia="宋体" w:cs="Times New Roman"/>
          <w:b w:val="0"/>
          <w:sz w:val="24"/>
        </w:rPr>
        <w:t xml:space="preserve"> 即进入安全控制台。关闭启动窗口即停止服务。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4.2 Linux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</w:t>
      </w:r>
      <w:r>
        <w:rPr>
          <w:rFonts w:ascii="Times New Roman" w:hAnsi="Times New Roman" w:eastAsia="宋体" w:cs="Times New Roman"/>
          <w:b w:val="0"/>
          <w:sz w:val="24"/>
        </w:rPr>
        <w:t xml:space="preserve"> 等价于以下手动步骤：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</w:t>
      </w:r>
      <w:r>
        <w:rPr>
          <w:rFonts w:ascii="Times New Roman" w:hAnsi="Times New Roman" w:eastAsia="宋体" w:cs="Times New Roman"/>
          <w:b w:val="0"/>
          <w:sz w:val="24"/>
        </w:rPr>
        <w:t>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 只安装 </w:t>
      </w:r>
      <w:r>
        <w:rPr>
          <w:rFonts w:ascii="Times New Roman" w:hAnsi="Times New Roman" w:eastAsia="宋体" w:cs="Times New Roman"/>
          <w:b w:val="0"/>
          <w:sz w:val="24"/>
        </w:rPr>
        <w:t>requirements-core.txt</w:t>
      </w:r>
      <w:r>
        <w:rPr>
          <w:rFonts w:ascii="Times New Roman" w:hAnsi="Times New Roman" w:eastAsia="宋体" w:cs="Times New Roman"/>
          <w:b w:val="0"/>
          <w:sz w:val="24"/>
        </w:rPr>
        <w:t xml:space="preserve"> 并以历史浏览模式启动。默认端口被占用时，可通过环境变量更换端口，例如 </w:t>
      </w:r>
      <w:r>
        <w:rPr>
          <w:rFonts w:ascii="Times New Roman" w:hAnsi="Times New Roman" w:eastAsia="宋体" w:cs="Times New Roman"/>
          <w:b w:val="0"/>
          <w:sz w:val="24"/>
        </w:rPr>
        <w:t>PORT=8770 sh 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；Windows 下对应为 </w:t>
      </w:r>
      <w:r>
        <w:rPr>
          <w:rFonts w:ascii="Times New Roman" w:hAnsi="Times New Roman" w:eastAsia="宋体" w:cs="Times New Roman"/>
          <w:b w:val="0"/>
          <w:sz w:val="24"/>
        </w:rPr>
        <w:t>start-console.bat --port 8770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4.3 上游接口配置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 xml:space="preserve">Pi 只与本地网关通信，由网关携带密钥访问上游接口。更换主机时应重新运行安装脚本，而不是复制旧主机的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4.4 快镜配置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快镜采用本作品</w:t>
      </w:r>
      <w:r>
        <w:rPr>
          <w:rFonts w:ascii="Times New Roman" w:hAnsi="Times New Roman" w:eastAsia="宋体" w:cs="Times New Roman"/>
          <w:b/>
          <w:sz w:val="24"/>
        </w:rPr>
        <w:t>自行训练并冻结的 D²Guard-Laya S1 多语言模型</w:t>
      </w:r>
      <w:r>
        <w:rPr>
          <w:rFonts w:ascii="Times New Roman" w:hAnsi="Times New Roman" w:eastAsia="宋体" w:cs="Times New Roman"/>
          <w:b w:val="0"/>
          <w:sz w:val="24"/>
        </w:rPr>
        <w:t>，权重随程序包交付，位于 weights/D2Guard-multilingual/，主要参数如表 4-1 所示。配置工具依据本机 CUDA 可用性自动选择 cuda:0 或 cpu，也可通过 --device cpu 显式指定。加载时逐文件校验 SHA-256，校验失败则拒绝启用快镜；配置了 CUDA 但不可用时直接报错，不会静默退回 CPU。设置环境变量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96"/>
        <w:gridCol w:w="6134"/>
      </w:tblGrid>
      <w:tr>
        <w:trPr>
          <w:tblHeader w:val="true"/>
          <w:cantSplit/>
        </w:trPr>
        <w:tc>
          <w:tcPr>
            <w:tcW w:type="dxa" w:w="259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type="dxa" w:w="613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来源级请求污染判定（配置值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taint_gate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，默认）：request 概率不低于阈值的来源并入请求污染集合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4.5 慢镜配置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慢镜默认沿用智能体的上游接口，也可在安全控制台的“模型设置”页中单独指定接口地址、API 密钥与模型名称，配置保存为 </w:t>
      </w:r>
      <w:r>
        <w:rPr>
          <w:rFonts w:ascii="Times New Roman" w:hAnsi="Times New Roman" w:eastAsia="宋体" w:cs="Times New Roman"/>
          <w:b w:val="0"/>
          <w:sz w:val="24"/>
        </w:rPr>
        <w:t>.local/review.json</w:t>
      </w:r>
      <w:r>
        <w:rPr>
          <w:rFonts w:ascii="Times New Roman" w:hAnsi="Times New Roman" w:eastAsia="宋体" w:cs="Times New Roman"/>
          <w:b w:val="0"/>
          <w:sz w:val="24"/>
        </w:rPr>
        <w:t>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4.6 部署验证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</w:t>
      </w:r>
      <w:r>
        <w:rPr>
          <w:rFonts w:ascii="Times New Roman" w:hAnsi="Times New Roman" w:eastAsia="宋体" w:cs="Times New Roman"/>
          <w:b/>
          <w:sz w:val="24"/>
        </w:rPr>
        <w:t>单元测试。</w:t>
      </w:r>
      <w:r>
        <w:rPr>
          <w:rFonts w:ascii="Times New Roman" w:hAnsi="Times New Roman" w:eastAsia="宋体" w:cs="Times New Roman"/>
          <w:b w:val="0"/>
          <w:sz w:val="24"/>
        </w:rPr>
        <w:t xml:space="preserve">在程序目录下执行以下命令，Python 单元测试、控制台测试与 Node.js 测试均应全部通过。Windows 下将解释器替换为 </w:t>
      </w:r>
      <w:r>
        <w:rPr>
          <w:rFonts w:ascii="Times New Roman" w:hAnsi="Times New Roman" w:eastAsia="宋体" w:cs="Times New Roman"/>
          <w:b w:val="0"/>
          <w:sz w:val="24"/>
        </w:rPr>
        <w:t>.venv-windows\Scripts\python.exe</w:t>
      </w:r>
      <w:r>
        <w:rPr>
          <w:rFonts w:ascii="Times New Roman" w:hAnsi="Times New Roman" w:eastAsia="宋体" w:cs="Times New Roman"/>
          <w:b w:val="0"/>
          <w:sz w:val="24"/>
        </w:rPr>
        <w:t xml:space="preserve">，PowerShell 中 </w:t>
      </w:r>
      <w:r>
        <w:rPr>
          <w:rFonts w:ascii="Times New Roman" w:hAnsi="Times New Roman" w:eastAsia="宋体" w:cs="Times New Roman"/>
          <w:b w:val="0"/>
          <w:sz w:val="24"/>
        </w:rPr>
        <w:t>PYTHONPATH</w:t>
      </w:r>
      <w:r>
        <w:rPr>
          <w:rFonts w:ascii="Times New Roman" w:hAnsi="Times New Roman" w:eastAsia="宋体" w:cs="Times New Roman"/>
          <w:b w:val="0"/>
          <w:sz w:val="24"/>
        </w:rPr>
        <w:t xml:space="preserve"> 的分隔符为分号。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（3）</w:t>
      </w:r>
      <w:r>
        <w:rPr>
          <w:rFonts w:ascii="Times New Roman" w:hAnsi="Times New Roman" w:eastAsia="宋体" w:cs="Times New Roman"/>
          <w:b/>
          <w:sz w:val="24"/>
        </w:rPr>
        <w:t xml:space="preserve">端到端运行。</w:t>
      </w:r>
      <w:r>
        <w:rPr>
          <w:rFonts w:ascii="Times New Roman" w:hAnsi="Times New Roman" w:eastAsia="宋体" w:cs="Times New Roman"/>
          <w:sz w:val="24"/>
        </w:rPr>
        <w:t xml:space="preserve">在“攻防竞技场”中选择一个间接注入场景，例如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对上述运行执行 </w:t>
      </w:r>
      <w:r>
        <w:rPr>
          <w:rFonts w:ascii="Times New Roman" w:hAnsi="Times New Roman" w:eastAsia="宋体" w:cs="Times New Roman"/>
          <w:b w:val="0"/>
          <w:sz w:val="24"/>
        </w:rPr>
        <w:t>verify_v2.py</w:t>
      </w:r>
      <w:r>
        <w:rPr>
          <w:rFonts w:ascii="Times New Roman" w:hAnsi="Times New Roman" w:eastAsia="宋体" w:cs="Times New Roman"/>
          <w:b w:val="0"/>
          <w:sz w:val="24"/>
        </w:rPr>
        <w:t>，核验源码与资源哈希、事件链、裁决与执行的对应关系以及接收端回执，全部通过即说明部署完整。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4.7 多 MCP 服务器配置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将主机配置保存为 .local/mcp.json，通过环境变量 D2_MCP_CONFIG 指向该文件。顶层 servers 为服务器数组，各项使用唯一 server_id；stdio 传输配置 command 字符串数组，HTTP 传输配置 url。以下示例在同一任务接入两台服务器，实际可执行文件、脚本与端口按部署环境填写。配置只从本地 .local 读取，不随程序包分发。</w:t>
      </w:r>
    </w:p>
    <w:p>
      <w:pPr>
        <w:snapToGrid w:val="0"/>
        <w:spacing w:before="0" w:after="0" w:line="252" w:lineRule="auto"/>
        <w:ind w:firstLine="0"/>
        <w:jc w:val="left"/>
      </w:pPr>
      <w:r>
        <w:rPr>
          <w:rFonts w:ascii="Consolas" w:hAnsi="Consolas" w:eastAsia="宋体" w:cs="Times New Roman"/>
          <w:b w:val="0"/>
          <w:sz w:val="20"/>
        </w:rPr>
        <w:t>{</w:t>
        <w:br/>
        <w:t xml:space="preserve">  "servers": [</w:t>
        <w:br/>
        <w:t xml:space="preserve">    {"server_id": "docs-a", "transport": "stdio",</w:t>
        <w:br/>
        <w:t xml:space="preserve">     "command": ["python", "mcp_a.py"]},</w:t>
        <w:br/>
        <w:t xml:space="preserve">    {"server_id": "notes-b", "transport": "http",</w:t>
        <w:br/>
        <w:t xml:space="preserve">     "url": "http://127.0.0.1:9001/mcp"}</w:t>
        <w:br/>
        <w:t xml:space="preserve">  ]</w:t>
        <w:br/>
        <w:t>}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PowerShell 启动前设置 $env:D2_MCP_CONFIG=(Resolve-Path .local/mcp.json).Path；Linux 使用 export D2_MCP_CONFIG="$PWD/.local/mcp.json"。两台及以上时工具名为 docs-a/project_facts 与 notes-b/project_facts，每次调用只路由至对应服务器，server_id 同时写入审计、mcp://服务器/工具 来源 URI 与溯源节点。裸工具名授权会覆盖同名工具，精确授权宜写明服务器限定名。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第五章 运行与使用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5.1 安全控制台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安全控制台首次启动时为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下的全部运行建立索引，各页面的用途如表 5-1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6660"/>
      </w:tblGrid>
      <w:tr>
        <w:trPr>
          <w:tblHeader w:val="true"/>
          <w:cantSplit/>
        </w:trPr>
        <w:tc>
          <w:tcPr>
            <w:tcW w:type="dxa" w:w="207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type="dxa" w:w="666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场景评测汇总、防护关闭与开启的对照回放、检测—研判—阻断—溯源各环节的实时状态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浏览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下的全部运行证据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5.2 网页审批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 xml:space="preserve"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 xml:space="preserve">审批有效期为 5 分钟，刷新页面可恢复待审批的任务。智能体结束后页面即显示本轮结果，慢镜研判报告在后台生成，完成后在“溯源分析”中可见。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5.3 命令行运行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>
      <w:pPr>
        <w:shd w:val="clear" w:color="auto" w:fill="F3F5F8"/>
        <w:snapToGrid w:val="0"/>
        <w:spacing w:before="8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</w:t>
      </w:r>
      <w:r>
        <w:rPr>
          <w:rFonts w:ascii="Times New Roman" w:hAnsi="Times New Roman" w:eastAsia="宋体" w:cs="Times New Roman"/>
          <w:b w:val="0"/>
          <w:sz w:val="24"/>
        </w:rPr>
        <w:t xml:space="preserve"> 表示只记录、不拦截。命令与 Git 类场景需设置环境变量 </w:t>
      </w:r>
      <w:r>
        <w:rPr>
          <w:rFonts w:ascii="Times New Roman" w:hAnsi="Times New Roman" w:eastAsia="宋体" w:cs="Times New Roman"/>
          <w:b w:val="0"/>
          <w:sz w:val="24"/>
        </w:rPr>
        <w:t>D2_HOST_EXEC=1</w:t>
      </w:r>
      <w:r>
        <w:rPr>
          <w:rFonts w:ascii="Times New Roman" w:hAnsi="Times New Roman" w:eastAsia="宋体" w:cs="Times New Roman"/>
          <w:b w:val="0"/>
          <w:sz w:val="24"/>
        </w:rPr>
        <w:t xml:space="preserve">（控制台启动脚本已自动设置）。每轮运行在 </w:t>
      </w:r>
      <w:r>
        <w:rPr>
          <w:rFonts w:ascii="Times New Roman" w:hAnsi="Times New Roman" w:eastAsia="宋体" w:cs="Times New Roman"/>
          <w:b w:val="0"/>
          <w:sz w:val="24"/>
        </w:rPr>
        <w:t>runs/&lt;run_id&gt;/</w:t>
      </w:r>
      <w:r>
        <w:rPr>
          <w:rFonts w:ascii="Times New Roman" w:hAnsi="Times New Roman" w:eastAsia="宋体" w:cs="Times New Roman"/>
          <w:b w:val="0"/>
          <w:sz w:val="24"/>
        </w:rPr>
        <w:t xml:space="preserve">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若上游模型采用 Responses 接口且支持显式思考控制，可在“模型设置”中勾选相应选项（对应 provider.json 中的 reasoning_capable: true）。Pi 以关闭思考的模式启动，勾选该选项后，Pi 会向上游显式发送 reasoning.effort=none，避免服务端沿用默认的思考设置而产生较长的推理时间；接口不支持该参数时不应勾选。运行清单记录该配置，</w:t>
      </w:r>
      <w:r>
        <w:rPr>
          <w:rFonts w:ascii="Times New Roman" w:hAnsi="Times New Roman" w:eastAsia="宋体" w:cs="Times New Roman"/>
          <w:b/>
          <w:sz w:val="24"/>
        </w:rPr>
        <w:t xml:space="preserve">思考配置不同的实验结果应分别统计</w:t>
      </w:r>
      <w:r>
        <w:rPr>
          <w:rFonts w:ascii="Times New Roman" w:hAnsi="Times New Roman" w:eastAsia="宋体" w:cs="Times New Roman"/>
          <w:sz w:val="24"/>
        </w:rPr>
        <w:t xml:space="preserve"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5.4 安全边界与运维说明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每轮运行记录源码、场景与 Pi 程序的 SHA-256，便于复现与审计。运行证据保存在 runs/ 下，旧记录应移至 archive/ 下带日期的目录。执行 build-submission.bat（Windows）或 sh build-submission.sh（Linux）可重新生成程序包，打包内容为当前说明文档、源码、快镜权重、demo-runs.json 所列的演示证据，以及 supplemental-runs.json 所列的专项评测证据，不包含 .local/、虚拟环境与缓存。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5.5 常见问题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77"/>
        <w:gridCol w:w="3076"/>
        <w:gridCol w:w="3076"/>
      </w:tblGrid>
      <w:tr>
        <w:trPr>
          <w:tblHeader w:val="true"/>
          <w:cantSplit/>
        </w:trPr>
        <w:tc>
          <w:tcPr>
            <w:tcW w:type="dxa" w:w="257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未执行完整安装，或未生成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.local/s1.json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运行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或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重新解压程序包中的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目录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配置为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cuda:0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，但本机无可用 GPU 或驱动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以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--device cpu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重新运行配置工具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Linux 下设置环境变量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，Windows 下使用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 --port &lt;端口&gt;</w:t>
            </w:r>
          </w:p>
        </w:tc>
      </w:tr>
    </w:tbl>
    <w:p>
      <w:pPr>
        <w:keepNext/>
        <w:pageBreakBefore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5.6 自由对话与双路对决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 xml:space="preserve">同一 Pi 会话保留上下文</w:t>
      </w:r>
      <w:r>
        <w:rPr>
          <w:rFonts w:ascii="Times New Roman" w:hAnsi="Times New Roman" w:eastAsia="宋体" w:cs="Times New Roman"/>
          <w:sz w:val="24"/>
        </w:rPr>
        <w:t xml:space="preserve"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进入“攻防竞技场”，选择场景与环境后点击“开始双路对决”，即可对同一任务同时运行防护关闭和开启两路。新增直接输入样例以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 xml:space="preserve">原会话随后继续</w:t>
      </w:r>
      <w:r>
        <w:rPr>
          <w:rFonts w:ascii="Times New Roman" w:hAnsi="Times New Roman" w:eastAsia="宋体" w:cs="Times New Roman"/>
          <w:sz w:val="24"/>
        </w:rPr>
        <w:t xml:space="preserve"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自由对话与场景测试使用相同的工具边界，均受第 5.4 节所述应用层约束。浏览器断开不代表任务已结束，再次打开页面可恢复当前任务与待审批状态。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>
      <w:pPr>
        <w:snapToGrid w:val="0"/>
        <w:spacing w:before="0" w:after="80" w:line="144" w:lineRule="auto"/>
        <w:jc w:val="both"/>
      </w:pPr>
    </w:p>
    <w:sectPr>
      <w:footerReference r:id="rId3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13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72D59">
    <w:pPr>
      <w:pStyle w:val="5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updateFields w:val="true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uiPriority w:val="0"/>
    <w:rPr>
      <w:rFonts w:cs="FreeSans"/>
    </w:rPr>
  </w:style>
  <w:style w:type="paragraph" w:styleId="8">
    <w:name w:val="toc 2"/>
    <w:basedOn w:val="1"/>
    <w:next w:val="1"/>
    <w:uiPriority w:val="0"/>
    <w:pPr>
      <w:ind w:left="420" w:leftChars="200"/>
    </w:pPr>
    <w:rPr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4" Type="http://schemas.openxmlformats.org/officeDocument/2006/relationships/image" Target="media/image17.png"/><Relationship Id="rId6" Type="http://schemas.openxmlformats.org/officeDocument/2006/relationships/footer" Target="footer3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29505</Words>
  <Characters>39944</Characters>
  <TotalTime>14</TotalTime>
  <ScaleCrop>false</ScaleCrop>
  <LinksUpToDate>false</LinksUpToDate>
  <CharactersWithSpaces>42906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2026-10-20T07:52:33Z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