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FFCF0">
      <w:pPr>
        <w:rPr>
          <w:rFonts w:ascii="黑体" w:hAnsi="黑体" w:eastAsia="黑体" w:cs="宋体"/>
          <w:sz w:val="32"/>
          <w:szCs w:val="32"/>
        </w:rPr>
      </w:pPr>
    </w:p>
    <w:p w14:paraId="499E22C3">
      <w:pPr>
        <w:rPr>
          <w:rFonts w:ascii="黑体" w:hAnsi="黑体" w:eastAsia="黑体" w:cs="宋体"/>
          <w:sz w:val="32"/>
          <w:szCs w:val="32"/>
        </w:rPr>
      </w:pPr>
    </w:p>
    <w:p w14:paraId="1663E5A8">
      <w:pPr>
        <w:rPr>
          <w:rFonts w:ascii="黑体" w:hAnsi="黑体" w:eastAsia="黑体" w:cs="宋体"/>
          <w:sz w:val="32"/>
          <w:szCs w:val="32"/>
        </w:rPr>
      </w:pPr>
    </w:p>
    <w:p w14:paraId="7D5B9516">
      <w:pPr>
        <w:jc w:val="center"/>
        <w:rPr>
          <w:rFonts w:ascii="黑体" w:hAnsi="黑体" w:eastAsia="黑体" w:cs="宋体"/>
          <w:b/>
          <w:sz w:val="52"/>
          <w:szCs w:val="52"/>
        </w:rPr>
      </w:pPr>
      <w:r>
        <w:rPr>
          <w:rFonts w:ascii="黑体" w:hAnsi="黑体" w:eastAsia="黑体" w:cs="宋体"/>
          <w:b/>
          <w:sz w:val="52"/>
          <w:szCs w:val="52"/>
        </w:rPr>
        <w:t>中国研究生网络安全创新大赛</w:t>
      </w:r>
    </w:p>
    <w:p w14:paraId="25B6E828">
      <w:pPr>
        <w:jc w:val="center"/>
        <w:rPr>
          <w:b/>
          <w:sz w:val="52"/>
          <w:szCs w:val="52"/>
        </w:rPr>
      </w:pPr>
      <w:r>
        <w:rPr>
          <w:rFonts w:ascii="黑体" w:hAnsi="黑体" w:eastAsia="黑体" w:cs="宋体"/>
          <w:b/>
          <w:sz w:val="52"/>
          <w:szCs w:val="52"/>
        </w:rPr>
        <w:t>部署说明文档</w:t>
      </w:r>
    </w:p>
    <w:p w14:paraId="16EA8359">
      <w:pPr>
        <w:spacing w:line="360" w:lineRule="auto"/>
        <w:rPr>
          <w:rFonts w:ascii="宋体" w:hAnsi="宋体" w:cs="宋体"/>
          <w:b/>
          <w:sz w:val="24"/>
          <w:szCs w:val="52"/>
        </w:rPr>
      </w:pPr>
    </w:p>
    <w:p w14:paraId="391DDF74">
      <w:pPr>
        <w:spacing w:line="360" w:lineRule="auto"/>
        <w:rPr>
          <w:rFonts w:ascii="宋体" w:hAnsi="宋体" w:cs="宋体"/>
          <w:sz w:val="24"/>
        </w:rPr>
      </w:pPr>
    </w:p>
    <w:p w14:paraId="388D9F82">
      <w:pPr>
        <w:spacing w:line="360" w:lineRule="auto"/>
        <w:rPr>
          <w:rFonts w:ascii="宋体" w:hAnsi="宋体" w:cs="宋体"/>
          <w:sz w:val="24"/>
        </w:rPr>
      </w:pPr>
    </w:p>
    <w:p w14:paraId="6B9891A8">
      <w:pPr>
        <w:spacing w:line="360" w:lineRule="auto"/>
        <w:rPr>
          <w:rFonts w:ascii="宋体" w:hAnsi="宋体" w:cs="宋体"/>
          <w:sz w:val="24"/>
        </w:rPr>
      </w:pPr>
    </w:p>
    <w:p w14:paraId="2D8C8C45">
      <w:pPr>
        <w:spacing w:line="360" w:lineRule="auto"/>
        <w:rPr>
          <w:rFonts w:ascii="宋体" w:hAnsi="宋体" w:cs="宋体"/>
          <w:sz w:val="24"/>
        </w:rPr>
      </w:pPr>
    </w:p>
    <w:p w14:paraId="17BE156C">
      <w:pPr>
        <w:spacing w:line="360" w:lineRule="auto"/>
        <w:rPr>
          <w:rFonts w:ascii="宋体" w:hAnsi="宋体" w:cs="宋体"/>
          <w:sz w:val="24"/>
        </w:rPr>
      </w:pPr>
    </w:p>
    <w:p w14:paraId="22984D0B">
      <w:pPr>
        <w:spacing w:line="360" w:lineRule="auto"/>
        <w:rPr>
          <w:rFonts w:ascii="宋体" w:hAnsi="宋体" w:cs="宋体"/>
          <w:sz w:val="24"/>
        </w:rPr>
      </w:pPr>
    </w:p>
    <w:p w14:paraId="4A4CFAA2">
      <w:pPr>
        <w:spacing w:line="360" w:lineRule="auto"/>
        <w:ind w:left="1260" w:leftChars="0" w:firstLine="964" w:firstLineChars="300"/>
        <w:rPr>
          <w:rFonts w:hint="eastAsia" w:ascii="Times New Roman" w:hAnsi="Times New Roman" w:eastAsia="黑体" w:cs="Times New Roman"/>
          <w:b/>
          <w:bCs w:val="0"/>
          <w:sz w:val="32"/>
          <w:u w:val="single" w:color="auto"/>
          <w:lang w:val="en-US" w:eastAsia="zh-CN"/>
        </w:rPr>
      </w:pPr>
      <w:r>
        <w:rPr>
          <w:rFonts w:hint="eastAsia" w:ascii="黑体" w:hAnsi="宋体" w:eastAsia="黑体"/>
          <w:b/>
          <w:bCs w:val="0"/>
          <w:sz w:val="32"/>
          <w:szCs w:val="32"/>
          <w:u w:val="single" w:color="auto"/>
          <w:lang w:val="en-US" w:eastAsia="zh-CN"/>
        </w:rPr>
        <w:t xml:space="preserve">           </w:t>
      </w:r>
      <w:r>
        <w:rPr>
          <w:rFonts w:hint="eastAsia" w:ascii="黑体" w:hAnsi="宋体" w:eastAsia="黑体"/>
          <w:b/>
          <w:sz w:val="32"/>
          <w:szCs w:val="32"/>
          <w:u w:val="single" w:color="auto"/>
          <w:lang w:val="en-US" w:eastAsia="zh-CN"/>
        </w:rPr>
        <w:t xml:space="preserve">  </w:t>
      </w:r>
    </w:p>
    <w:tbl>
      <w:tblPr>
        <w:tblStyle w:val="10"/>
        <w:tblpPr w:leftFromText="180" w:rightFromText="180" w:vertAnchor="text" w:horzAnchor="page" w:tblpX="1615" w:tblpY="448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7171"/>
      </w:tblGrid>
      <w:tr w14:paraId="740F147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5" w:type="dxa"/>
            <w:vAlign w:val="center"/>
          </w:tcPr>
          <w:p w14:paraId="44975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Times New Roman" w:hAnsi="Times New Roman" w:eastAsia="黑体" w:cs="Times New Roman"/>
                <w:b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黑体" w:cs="Times New Roman"/>
                <w:b/>
                <w:sz w:val="32"/>
                <w:szCs w:val="32"/>
              </w:rPr>
              <w:t>作品名称：</w:t>
            </w:r>
          </w:p>
        </w:tc>
        <w:tc>
          <w:tcPr>
            <w:tcW w:w="7171" w:type="dxa"/>
            <w:tcBorders/>
            <w:vAlign w:val="center"/>
          </w:tcPr>
          <w:p w14:paraId="220DAB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1"/>
                <w:left w:val="none" w:color="auto" w:sz="0" w:space="4"/>
                <w:bottom w:val="single" w:color="auto" w:sz="4" w:space="0"/>
                <w:right w:val="none" w:color="auto" w:sz="0" w:space="4"/>
                <w:between w:val="none" w:color="auto" w:sz="0" w:space="0"/>
              </w:pBd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黑体" w:cs="Times New Roman"/>
                <w:b/>
                <w:sz w:val="32"/>
                <w:szCs w:val="32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eastAsia="黑体" w:cs="Times New Roman"/>
                <w:b/>
                <w:sz w:val="32"/>
                <w:szCs w:val="32"/>
                <w:u w:val="none" w:color="auto"/>
                <w:lang w:val="en-US" w:eastAsia="zh-CN"/>
              </w:rPr>
              <w:t>双镜 D²Guard：基于快慢协同研判与</w:t>
            </w:r>
          </w:p>
        </w:tc>
      </w:tr>
      <w:tr w14:paraId="5DA572B7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5" w:type="dxa"/>
            <w:vAlign w:val="center"/>
          </w:tcPr>
          <w:p w14:paraId="2ACF0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Times New Roman" w:hAnsi="Times New Roman" w:eastAsia="黑体" w:cs="Times New Roman"/>
                <w:b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7171" w:type="dxa"/>
            <w:tcBorders/>
            <w:vAlign w:val="center"/>
          </w:tcPr>
          <w:p w14:paraId="16291BB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1"/>
                <w:left w:val="none" w:color="auto" w:sz="0" w:space="4"/>
                <w:bottom w:val="single" w:color="auto" w:sz="4" w:space="0"/>
                <w:right w:val="none" w:color="auto" w:sz="0" w:space="4"/>
                <w:between w:val="none" w:color="auto" w:sz="0" w:space="0"/>
              </w:pBd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黑体" w:cs="Times New Roman"/>
                <w:b/>
                <w:sz w:val="32"/>
                <w:szCs w:val="32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eastAsia="黑体" w:cs="Times New Roman"/>
                <w:b/>
                <w:sz w:val="32"/>
                <w:szCs w:val="32"/>
                <w:u w:val="none" w:color="auto"/>
                <w:lang w:val="en-US" w:eastAsia="zh-CN"/>
              </w:rPr>
              <w:t>增量安全状态的大模型智能体防御系统</w:t>
            </w:r>
          </w:p>
        </w:tc>
      </w:tr>
      <w:tr w14:paraId="5A82C3A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65" w:type="dxa"/>
            <w:tcBorders>
              <w:bottom w:val="nil"/>
            </w:tcBorders>
            <w:vAlign w:val="center"/>
          </w:tcPr>
          <w:p w14:paraId="1B301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ascii="Times New Roman" w:hAnsi="Times New Roman" w:eastAsia="黑体" w:cs="Times New Roman"/>
                <w:b/>
                <w:sz w:val="32"/>
                <w:szCs w:val="32"/>
                <w:lang w:val="en-US" w:eastAsia="zh-CN"/>
              </w:rPr>
            </w:pPr>
            <w:r>
              <w:rPr>
                <w:rFonts w:ascii="Times New Roman" w:hAnsi="Times New Roman" w:eastAsia="黑体" w:cs="Times New Roman"/>
                <w:b/>
                <w:sz w:val="32"/>
                <w:szCs w:val="32"/>
                <w:lang w:val="en-US" w:eastAsia="zh-CN"/>
              </w:rPr>
              <w:t>提交日期：</w:t>
            </w:r>
          </w:p>
        </w:tc>
        <w:tc>
          <w:tcPr>
            <w:tcW w:w="7171" w:type="dxa"/>
            <w:tcBorders>
              <w:bottom w:val="nil"/>
            </w:tcBorders>
            <w:vAlign w:val="center"/>
          </w:tcPr>
          <w:p w14:paraId="47D634C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1"/>
                <w:left w:val="none" w:color="auto" w:sz="0" w:space="4"/>
                <w:bottom w:val="single" w:color="auto" w:sz="4" w:space="0"/>
                <w:right w:val="none" w:color="auto" w:sz="0" w:space="4"/>
                <w:between w:val="none" w:color="auto" w:sz="0" w:space="0"/>
              </w:pBdr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ascii="Times New Roman" w:hAnsi="Times New Roman" w:eastAsia="黑体" w:cs="Times New Roman"/>
                <w:b/>
                <w:sz w:val="32"/>
                <w:szCs w:val="32"/>
                <w:u w:val="none" w:color="auto"/>
                <w:vertAlign w:val="baseline"/>
                <w:lang w:val="en-US" w:eastAsia="zh-CN"/>
              </w:rPr>
            </w:pPr>
            <w:r>
              <w:rPr>
                <w:rFonts w:hint="eastAsia" w:ascii="黑体" w:hAnsi="宋体" w:eastAsia="黑体"/>
                <w:b/>
                <w:sz w:val="32"/>
                <w:szCs w:val="32"/>
                <w:u w:val="none" w:color="auto"/>
              </w:rPr>
              <w:t>2026年10月21日</w:t>
            </w:r>
          </w:p>
        </w:tc>
      </w:tr>
    </w:tbl>
    <w:p w14:paraId="7E501154">
      <w:pPr>
        <w:autoSpaceDE w:val="0"/>
        <w:spacing w:line="360" w:lineRule="auto"/>
        <w:rPr>
          <w:rFonts w:ascii="宋体" w:hAnsi="宋体" w:eastAsia="黑体" w:cs="DFKai-SB;Microsoft JhengHei Lig"/>
          <w:b/>
          <w:bCs/>
          <w:sz w:val="24"/>
          <w:szCs w:val="32"/>
          <w:u w:val="single"/>
        </w:rPr>
      </w:pPr>
      <w:bookmarkStart w:id="50" w:name="_GoBack"/>
      <w:bookmarkEnd w:id="50"/>
    </w:p>
    <w:p w14:paraId="497111E7">
      <w:pPr>
        <w:spacing w:line="360" w:lineRule="auto"/>
        <w:rPr>
          <w:rFonts w:hint="default" w:ascii="黑体" w:hAnsi="宋体" w:eastAsia="黑体"/>
          <w:b/>
          <w:sz w:val="32"/>
          <w:szCs w:val="32"/>
          <w:u w:val="single"/>
          <w:lang w:val="en-US" w:eastAsia="zh-CN"/>
        </w:rPr>
        <w:sectPr>
          <w:footerReference w:type="default" r:id="rId6"/>
          <w:pgSz w:w="11906" w:h="16838"/>
          <w:pgMar w:top="1440" w:right="1466" w:bottom="1440" w:left="162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formProt w:val="0"/>
          <w:docGrid w:type="lines" w:linePitch="312" w:charSpace="0"/>
        </w:sectPr>
      </w:pPr>
    </w:p>
    <w:p w14:paraId="28F54E43">
      <w:pPr>
        <w:autoSpaceDE w:val="0"/>
        <w:spacing w:line="360" w:lineRule="auto"/>
        <w:jc w:val="center"/>
        <w:rPr>
          <w:rFonts w:ascii="黑体" w:hAnsi="黑体" w:eastAsia="黑体" w:cs="DFKai-SB;Microsoft JhengHei Lig"/>
          <w:b/>
          <w:bCs/>
          <w:sz w:val="32"/>
          <w:szCs w:val="32"/>
        </w:rPr>
      </w:pPr>
      <w:r>
        <w:rPr>
          <w:rFonts w:ascii="黑体" w:hAnsi="黑体" w:eastAsia="黑体" w:cs="DFKai-SB;Microsoft JhengHei Lig"/>
          <w:b/>
          <w:bCs/>
          <w:sz w:val="32"/>
          <w:szCs w:val="32"/>
        </w:rPr>
        <w:t>目     录</w:t>
      </w:r>
    </w:p>
    <w:p>
      <w:pPr>
        <w:pStyle w:val="6"/>
        <w:tabs>
          <w:tab w:pos="8674" w:val="clear"/>
          <w:tab w:pos="8820" w:val="right" w:leader="dot"/>
        </w:tabs>
        <w:snapToGrid w:val="0"/>
        <w:spacing w:before="0" w:after="0" w:line="360" w:lineRule="auto"/>
        <w:jc w:val="left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Arial" w:hAnsi="Arial" w:eastAsia="黑体" w:cs="Arial"/>
          <w:sz w:val="28"/>
        </w:rPr>
        <w:t>第一章 概述</w:t>
      </w:r>
      <w:r>
        <w:rPr>
          <w:rFonts w:ascii="Times New Roman" w:hAnsi="Times New Roman" w:eastAsia="宋体" w:cs="Times New Roman"/>
          <w:sz w:val="28"/>
        </w:rPr>
        <w:tab/>
        <w:t>1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1.1 部署形态</w:t>
      </w:r>
      <w:r>
        <w:rPr>
          <w:rFonts w:ascii="Times New Roman" w:hAnsi="Times New Roman" w:eastAsia="宋体" w:cs="Times New Roman"/>
          <w:sz w:val="24"/>
        </w:rPr>
        <w:tab/>
        <w:t>1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1.2 运行模式</w:t>
      </w:r>
      <w:r>
        <w:rPr>
          <w:rFonts w:ascii="Times New Roman" w:hAnsi="Times New Roman" w:eastAsia="宋体" w:cs="Times New Roman"/>
          <w:sz w:val="24"/>
        </w:rPr>
        <w:tab/>
        <w:t>2</w:t>
      </w:r>
    </w:p>
    <w:p>
      <w:pPr>
        <w:pStyle w:val="6"/>
        <w:tabs>
          <w:tab w:pos="8674" w:val="clear"/>
          <w:tab w:pos="8820" w:val="right" w:leader="dot"/>
        </w:tabs>
        <w:snapToGrid w:val="0"/>
        <w:spacing w:before="0" w:after="0" w:line="360" w:lineRule="auto"/>
        <w:jc w:val="left"/>
      </w:pPr>
      <w:r>
        <w:rPr>
          <w:rFonts w:ascii="Arial" w:hAnsi="Arial" w:eastAsia="黑体" w:cs="Arial"/>
          <w:sz w:val="28"/>
        </w:rPr>
        <w:t>第二章 环境要求</w:t>
      </w:r>
      <w:r>
        <w:rPr>
          <w:rFonts w:ascii="Times New Roman" w:hAnsi="Times New Roman" w:eastAsia="宋体" w:cs="Times New Roman"/>
          <w:sz w:val="28"/>
        </w:rPr>
        <w:tab/>
        <w:t>3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2.1 硬件要求</w:t>
      </w:r>
      <w:r>
        <w:rPr>
          <w:rFonts w:ascii="Times New Roman" w:hAnsi="Times New Roman" w:eastAsia="宋体" w:cs="Times New Roman"/>
          <w:sz w:val="24"/>
        </w:rPr>
        <w:tab/>
        <w:t>3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2.2 软件要求</w:t>
      </w:r>
      <w:r>
        <w:rPr>
          <w:rFonts w:ascii="Times New Roman" w:hAnsi="Times New Roman" w:eastAsia="宋体" w:cs="Times New Roman"/>
          <w:sz w:val="24"/>
        </w:rPr>
        <w:tab/>
        <w:t>3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2.3 网络要求</w:t>
      </w:r>
      <w:r>
        <w:rPr>
          <w:rFonts w:ascii="Times New Roman" w:hAnsi="Times New Roman" w:eastAsia="宋体" w:cs="Times New Roman"/>
          <w:sz w:val="24"/>
        </w:rPr>
        <w:tab/>
        <w:t>4</w:t>
      </w:r>
    </w:p>
    <w:p>
      <w:pPr>
        <w:pStyle w:val="6"/>
        <w:tabs>
          <w:tab w:pos="8674" w:val="clear"/>
          <w:tab w:pos="8820" w:val="right" w:leader="dot"/>
        </w:tabs>
        <w:snapToGrid w:val="0"/>
        <w:spacing w:before="0" w:after="0" w:line="360" w:lineRule="auto"/>
        <w:jc w:val="left"/>
      </w:pPr>
      <w:r>
        <w:rPr>
          <w:rFonts w:ascii="Arial" w:hAnsi="Arial" w:eastAsia="黑体" w:cs="Arial"/>
          <w:sz w:val="28"/>
        </w:rPr>
        <w:t>第三章 程序包结构</w:t>
      </w:r>
      <w:r>
        <w:rPr>
          <w:rFonts w:ascii="Times New Roman" w:hAnsi="Times New Roman" w:eastAsia="宋体" w:cs="Times New Roman"/>
          <w:sz w:val="28"/>
        </w:rPr>
        <w:tab/>
        <w:t>5</w:t>
      </w:r>
    </w:p>
    <w:p>
      <w:pPr>
        <w:pStyle w:val="6"/>
        <w:tabs>
          <w:tab w:pos="8674" w:val="clear"/>
          <w:tab w:pos="8820" w:val="right" w:leader="dot"/>
        </w:tabs>
        <w:snapToGrid w:val="0"/>
        <w:spacing w:before="0" w:after="0" w:line="360" w:lineRule="auto"/>
        <w:jc w:val="left"/>
      </w:pPr>
      <w:r>
        <w:rPr>
          <w:rFonts w:ascii="Arial" w:hAnsi="Arial" w:eastAsia="黑体" w:cs="Arial"/>
          <w:sz w:val="28"/>
        </w:rPr>
        <w:t>第四章 部署实现</w:t>
      </w:r>
      <w:r>
        <w:rPr>
          <w:rFonts w:ascii="Times New Roman" w:hAnsi="Times New Roman" w:eastAsia="宋体" w:cs="Times New Roman"/>
          <w:sz w:val="28"/>
        </w:rPr>
        <w:tab/>
        <w:t>6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4.1 Windows 部署</w:t>
      </w:r>
      <w:r>
        <w:rPr>
          <w:rFonts w:ascii="Times New Roman" w:hAnsi="Times New Roman" w:eastAsia="宋体" w:cs="Times New Roman"/>
          <w:sz w:val="24"/>
        </w:rPr>
        <w:tab/>
        <w:t>6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4.2 Linux 部署</w:t>
      </w:r>
      <w:r>
        <w:rPr>
          <w:rFonts w:ascii="Times New Roman" w:hAnsi="Times New Roman" w:eastAsia="宋体" w:cs="Times New Roman"/>
          <w:sz w:val="24"/>
        </w:rPr>
        <w:tab/>
        <w:t>6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4.3 上游接口配置</w:t>
      </w:r>
      <w:r>
        <w:rPr>
          <w:rFonts w:ascii="Times New Roman" w:hAnsi="Times New Roman" w:eastAsia="宋体" w:cs="Times New Roman"/>
          <w:sz w:val="24"/>
        </w:rPr>
        <w:tab/>
        <w:t>6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4.4 快镜配置</w:t>
      </w:r>
      <w:r>
        <w:rPr>
          <w:rFonts w:ascii="Times New Roman" w:hAnsi="Times New Roman" w:eastAsia="宋体" w:cs="Times New Roman"/>
          <w:sz w:val="24"/>
        </w:rPr>
        <w:tab/>
        <w:t>7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4.5 慢镜配置</w:t>
      </w:r>
      <w:r>
        <w:rPr>
          <w:rFonts w:ascii="Times New Roman" w:hAnsi="Times New Roman" w:eastAsia="宋体" w:cs="Times New Roman"/>
          <w:sz w:val="24"/>
        </w:rPr>
        <w:tab/>
        <w:t>7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4.6 部署验证</w:t>
      </w:r>
      <w:r>
        <w:rPr>
          <w:rFonts w:ascii="Times New Roman" w:hAnsi="Times New Roman" w:eastAsia="宋体" w:cs="Times New Roman"/>
          <w:sz w:val="24"/>
        </w:rPr>
        <w:tab/>
        <w:t>8</w:t>
      </w:r>
    </w:p>
    <w:p>
      <w:pPr>
        <w:pStyle w:val="6"/>
        <w:tabs>
          <w:tab w:pos="8674" w:val="clear"/>
          <w:tab w:pos="8820" w:val="right" w:leader="dot"/>
        </w:tabs>
        <w:snapToGrid w:val="0"/>
        <w:spacing w:before="0" w:after="0" w:line="360" w:lineRule="auto"/>
        <w:jc w:val="left"/>
      </w:pPr>
      <w:r>
        <w:rPr>
          <w:rFonts w:ascii="Arial" w:hAnsi="Arial" w:eastAsia="黑体" w:cs="Arial"/>
          <w:sz w:val="28"/>
        </w:rPr>
        <w:t>第五章 运行与使用</w:t>
      </w:r>
      <w:r>
        <w:rPr>
          <w:rFonts w:ascii="Times New Roman" w:hAnsi="Times New Roman" w:eastAsia="宋体" w:cs="Times New Roman"/>
          <w:sz w:val="28"/>
        </w:rPr>
        <w:tab/>
        <w:t>9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5.1 安全控制台</w:t>
      </w:r>
      <w:r>
        <w:rPr>
          <w:rFonts w:ascii="Times New Roman" w:hAnsi="Times New Roman" w:eastAsia="宋体" w:cs="Times New Roman"/>
          <w:sz w:val="24"/>
        </w:rPr>
        <w:tab/>
        <w:t>9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5.2 网页审批</w:t>
      </w:r>
      <w:r>
        <w:rPr>
          <w:rFonts w:ascii="Times New Roman" w:hAnsi="Times New Roman" w:eastAsia="宋体" w:cs="Times New Roman"/>
          <w:sz w:val="24"/>
        </w:rPr>
        <w:tab/>
        <w:t>9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5.3 命令行运行</w:t>
      </w:r>
      <w:r>
        <w:rPr>
          <w:rFonts w:ascii="Times New Roman" w:hAnsi="Times New Roman" w:eastAsia="宋体" w:cs="Times New Roman"/>
          <w:sz w:val="24"/>
        </w:rPr>
        <w:tab/>
        <w:t>10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5.4 安全边界与运维说明</w:t>
      </w:r>
      <w:r>
        <w:rPr>
          <w:rFonts w:ascii="Times New Roman" w:hAnsi="Times New Roman" w:eastAsia="宋体" w:cs="Times New Roman"/>
          <w:sz w:val="24"/>
        </w:rPr>
        <w:tab/>
        <w:t>10</w:t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sz w:val="24"/>
        </w:rPr>
        <w:t>5.5 常见问题</w:t>
      </w:r>
      <w:r>
        <w:rPr>
          <w:rFonts w:ascii="Times New Roman" w:hAnsi="Times New Roman" w:eastAsia="宋体" w:cs="Times New Roman"/>
          <w:sz w:val="24"/>
        </w:rPr>
        <w:tab/>
        <w:t>10</w:t>
      </w:r>
      <w:r>
        <w:fldChar w:fldCharType="end"/>
      </w:r>
    </w:p>
    <w:p>
      <w:pPr>
        <w:pStyle w:val="8"/>
        <w:tabs>
          <w:tab w:pos="8820" w:val="right" w:leader="dot"/>
        </w:tabs>
        <w:snapToGrid w:val="0"/>
        <w:spacing w:before="0" w:after="0" w:line="360" w:lineRule="auto"/>
        <w:ind w:left="480"/>
        <w:jc w:val="left"/>
      </w:pPr>
      <w:r>
        <w:rPr>
          <w:rFonts w:ascii="Arial" w:hAnsi="Arial" w:eastAsia="黑体" w:cs="Arial"/>
          <w:b w:val="0"/>
          <w:sz w:val="24"/>
        </w:rPr>
        <w:t>5.6 公网测试入口</w:t>
        <w:tab/>
        <w:t>12</w:t>
      </w:r>
    </w:p>
    <w:p w14:paraId="37DE46EA">
      <w:pPr>
        <w:autoSpaceDE w:val="0"/>
        <w:spacing w:line="360" w:lineRule="auto"/>
        <w:rPr>
          <w:rFonts w:ascii="宋体" w:hAnsi="宋体" w:cs="DFKai-SB;Microsoft JhengHei Lig"/>
          <w:bCs/>
          <w:sz w:val="24"/>
        </w:rPr>
        <w:sectPr>
          <w:pgSz w:w="11906" w:h="16838"/>
          <w:pgMar w:top="1440" w:right="1466" w:bottom="1440" w:left="1620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formProt w:val="0"/>
          <w:docGrid w:type="lines" w:linePitch="312" w:charSpace="0"/>
        </w:sectPr>
      </w:pPr>
    </w:p>
    <w:p>
      <w:pPr>
        <w:pStyle w:val="2"/>
        <w:keepNext/>
        <w:snapToGrid w:val="0"/>
        <w:spacing w:before="120" w:after="360" w:line="360" w:lineRule="auto"/>
        <w:jc w:val="center"/>
      </w:pPr>
      <w:r>
        <w:rPr>
          <w:rFonts w:ascii="Arial" w:hAnsi="Arial" w:eastAsia="黑体" w:cs="Arial"/>
          <w:b w:val="0"/>
          <w:sz w:val="32"/>
        </w:rPr>
        <w:t>第一章 概述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1.1 部署形态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双镜 D²Guard 以“宿主插件与本地防护服务”的方式接入 Pi 编码智能体。系统不修改 Pi 的源码，钩子插件、API 侧网关与 MCP 中间代理三个接入组件共用同一份安全状态，在 Windows 与 Linux 上均可原生部署。防护主机上运行 Pi、钩子插件、网关、MCP 代理、防护内核与安全控制台；快镜 D²Guard-Laya 在常驻推理进程中一次加载，各会话防护内核通过本机认证接口调用，防护主机具备 NVIDIA GPU 时使用 CUDA 推理，否则使用 CPU 推理；慢镜调用外部大模型接口，异步生成研判报告，不参与同步裁决。部署结构如图 1-1 所示。</w:t>
      </w:r>
    </w:p>
    <w:p>
      <w:pPr>
        <w:keepNext/>
        <w:snapToGrid w:val="0"/>
        <w:spacing w:before="12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44000" cy="2818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eplo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1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napToGrid w:val="0"/>
        <w:spacing w:before="40" w:after="1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图 1-1  部署结构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各组件的部署位置与作用如表 1-1 所示。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1-1  组件部署位置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841"/>
        <w:gridCol w:w="3181"/>
        <w:gridCol w:w="3708"/>
      </w:tblGrid>
      <w:tr>
        <w:trPr>
          <w:tblHeader w:val="true"/>
          <w:cantSplit/>
        </w:trPr>
        <w:tc>
          <w:tcPr>
            <w:tcW w:type="dxa" w:w="1841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组件</w:t>
            </w:r>
          </w:p>
        </w:tc>
        <w:tc>
          <w:tcPr>
            <w:tcW w:type="dxa" w:w="3182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部署位置</w:t>
            </w:r>
          </w:p>
        </w:tc>
        <w:tc>
          <w:tcPr>
            <w:tcW w:type="dxa" w:w="3708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作用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Pi 编码智能体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防护主机，安装在程序目录内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被防护对象，执行真实的大模型工具循环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钩子插件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随 Pi 加载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在每次工具执行前向防护内核请求裁决，子智能体同样加载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API 侧网关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防护主机本地服务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代理 Pi 与上游大模型之间的流式请求，执行出站数据防泄露检查，并隔离上游密钥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MCP 中间代理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防护主机本地服务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以 stdio 或 HTTP 方式接入第三方 MCP 服务，对工具描述与返回内容进行纳管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防护内核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防护主机本地服务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证据库、增量安全链、规则与决策表、溯源图与慢镜任务队列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 D²Guard-Laya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防护内核进程内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外部内容进入时判定其是否提出具体任务，GPU 或 CPU 推理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慢镜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外部大模型接口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挂起或阻断后异步研判与溯源，不改变裁决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安全控制台</w:t>
            </w:r>
          </w:p>
        </w:tc>
        <w:tc>
          <w:tcPr>
            <w:tcW w:type="dxa" w:w="3182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防护主机，默认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http://127.0.0.1:8768/</w:t>
            </w:r>
          </w:p>
        </w:tc>
        <w:tc>
          <w:tcPr>
            <w:tcW w:type="dxa" w:w="3708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攻防演示、网页审批、运行回放与溯源分析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1.2 运行模式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系统支持两种运行模式。</w:t>
      </w:r>
      <w:r>
        <w:rPr>
          <w:rFonts w:ascii="Times New Roman" w:hAnsi="Times New Roman" w:eastAsia="宋体" w:cs="Times New Roman"/>
          <w:b/>
          <w:sz w:val="24"/>
        </w:rPr>
        <w:t>完整运行模式</w:t>
      </w:r>
      <w:r>
        <w:rPr>
          <w:rFonts w:ascii="Times New Roman" w:hAnsi="Times New Roman" w:eastAsia="宋体" w:cs="Times New Roman"/>
          <w:b w:val="0"/>
          <w:sz w:val="24"/>
        </w:rPr>
        <w:t>在执行安装脚本并配置上游大模型接口后启用，可在安全控制台或命令行中发起真实智能体运行，并在网页中审批挂起的调用。</w:t>
      </w:r>
      <w:r>
        <w:rPr>
          <w:rFonts w:ascii="Times New Roman" w:hAnsi="Times New Roman" w:eastAsia="宋体" w:cs="Times New Roman"/>
          <w:b/>
          <w:sz w:val="24"/>
        </w:rPr>
        <w:t>历史浏览模式</w:t>
      </w:r>
      <w:r>
        <w:rPr>
          <w:rFonts w:ascii="Times New Roman" w:hAnsi="Times New Roman" w:eastAsia="宋体" w:cs="Times New Roman"/>
          <w:b w:val="0"/>
          <w:sz w:val="24"/>
        </w:rPr>
        <w:t>在未配置上游接口时使用，可浏览程序包附带的攻防大屏、历史运行回放与溯源分析，适用于在无法访问上游接口的环境中查看评测结果；Linux 下未执行完整安装时，启动脚本仅安装控制台所需的 Python 依赖并进入该模式。</w:t>
      </w:r>
    </w:p>
    <w:p>
      <w:pPr>
        <w:pStyle w:val="2"/>
        <w:keepNext/>
        <w:pageBreakBefore/>
        <w:snapToGrid w:val="0"/>
        <w:spacing w:before="120" w:after="360" w:line="360" w:lineRule="auto"/>
        <w:jc w:val="center"/>
      </w:pPr>
      <w:r>
        <w:rPr>
          <w:rFonts w:ascii="Arial" w:hAnsi="Arial" w:eastAsia="黑体" w:cs="Arial"/>
          <w:b w:val="0"/>
          <w:sz w:val="32"/>
        </w:rPr>
        <w:t>第二章 环境要求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2.1 硬件要求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防护主机的最低配置为 4 核 CPU、8 GB 内存与 10 GB 可用磁盘；快镜推理可使用 GPU，也可仅使用 CPU。</w:t>
      </w:r>
      <w:r>
        <w:rPr>
          <w:rFonts w:ascii="Times New Roman" w:hAnsi="Times New Roman" w:eastAsia="宋体" w:cs="Times New Roman"/>
          <w:b w:val="0"/>
          <w:sz w:val="24"/>
        </w:rPr>
        <w:t>各角色的硬件要求如表 2-1 所示。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2-1  硬件要求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1302"/>
        <w:gridCol w:w="2326"/>
        <w:gridCol w:w="1942"/>
        <w:gridCol w:w="3159"/>
      </w:tblGrid>
      <w:tr>
        <w:trPr>
          <w:tblHeader w:val="true"/>
          <w:cantSplit/>
        </w:trPr>
        <w:tc>
          <w:tcPr>
            <w:tcW w:type="dxa" w:w="1302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角色</w:t>
            </w:r>
          </w:p>
        </w:tc>
        <w:tc>
          <w:tcPr>
            <w:tcW w:type="dxa" w:w="2327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最低配置</w:t>
            </w:r>
          </w:p>
        </w:tc>
        <w:tc>
          <w:tcPr>
            <w:tcW w:type="dxa" w:w="1943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推荐配置</w:t>
            </w:r>
          </w:p>
        </w:tc>
        <w:tc>
          <w:tcPr>
            <w:tcW w:type="dxa" w:w="3159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说明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防护主机</w:t>
            </w:r>
          </w:p>
        </w:tc>
        <w:tc>
          <w:tcPr>
            <w:tcW w:type="dxa" w:w="232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 核 CPU、8 GB 内存、10 GB 磁盘</w:t>
            </w:r>
          </w:p>
        </w:tc>
        <w:tc>
          <w:tcPr>
            <w:tcW w:type="dxa" w:w="1943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8 核 CPU、16 GB 内存、SSD</w:t>
            </w:r>
          </w:p>
        </w:tc>
        <w:tc>
          <w:tcPr>
            <w:tcW w:type="dxa" w:w="3159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运行 Pi、钩子插件、网关与内核；每轮运行证据约数 MB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快镜推理（GPU）</w:t>
            </w:r>
          </w:p>
        </w:tc>
        <w:tc>
          <w:tcPr>
            <w:tcW w:type="dxa" w:w="232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显存 ≥ 8 GB，支持 BF16</w:t>
            </w:r>
          </w:p>
        </w:tc>
        <w:tc>
          <w:tcPr>
            <w:tcW w:type="dxa" w:w="1943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NVIDIA A100</w:t>
            </w:r>
          </w:p>
        </w:tc>
        <w:tc>
          <w:tcPr>
            <w:tcW w:type="dxa" w:w="3159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单次推理约占用 1.4 GB 显存，推理耗时中位数 29 ms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快镜推理（CPU）</w:t>
            </w:r>
          </w:p>
        </w:tc>
        <w:tc>
          <w:tcPr>
            <w:tcW w:type="dxa" w:w="232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同防护主机</w:t>
            </w:r>
          </w:p>
        </w:tc>
        <w:tc>
          <w:tcPr>
            <w:tcW w:type="dxa" w:w="1943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—</w:t>
            </w:r>
          </w:p>
        </w:tc>
        <w:tc>
          <w:tcPr>
            <w:tcW w:type="dxa" w:w="3159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4 线程下推理耗时中位数 172 ms，适用于演示与低频场景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快镜训练</w:t>
            </w:r>
          </w:p>
        </w:tc>
        <w:tc>
          <w:tcPr>
            <w:tcW w:type="dxa" w:w="2327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显存 ≥ 24 GB</w:t>
            </w:r>
          </w:p>
        </w:tc>
        <w:tc>
          <w:tcPr>
            <w:tcW w:type="dxa" w:w="1943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A100 80GB</w:t>
            </w:r>
          </w:p>
        </w:tc>
        <w:tc>
          <w:tcPr>
            <w:tcW w:type="dxa" w:w="3159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仅在重新训练领域模型时需要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2.2 软件要求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软件要求如表 2-2 所示，Python 依赖的固定版本如表 2-3 所示。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2-2  软件要求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420"/>
        <w:gridCol w:w="6310"/>
      </w:tblGrid>
      <w:tr>
        <w:trPr>
          <w:tblHeader w:val="true"/>
          <w:cantSplit/>
        </w:trPr>
        <w:tc>
          <w:tcPr>
            <w:tcW w:type="dxa" w:w="2421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软件</w:t>
            </w:r>
          </w:p>
        </w:tc>
        <w:tc>
          <w:tcPr>
            <w:tcW w:type="dxa" w:w="6310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版本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操作系统</w:t>
            </w:r>
          </w:p>
        </w:tc>
        <w:tc>
          <w:tcPr>
            <w:tcW w:type="dxa" w:w="631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Windows 10／11 或 Linux（正式评测在 Linux 上完成，Windows 上完成了功能验证）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Python</w:t>
            </w:r>
          </w:p>
        </w:tc>
        <w:tc>
          <w:tcPr>
            <w:tcW w:type="dxa" w:w="631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3.11 及以上（已验证 3.12、3.13）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Node.js</w:t>
            </w:r>
          </w:p>
        </w:tc>
        <w:tc>
          <w:tcPr>
            <w:tcW w:type="dxa" w:w="631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22.19 及以上（含 npm）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Git</w:t>
            </w:r>
          </w:p>
        </w:tc>
        <w:tc>
          <w:tcPr>
            <w:tcW w:type="dxa" w:w="631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近期版本；Windows 上使用 Git for Windows，其 Bash 用于执行命令类工具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Pi CLI</w:t>
            </w:r>
          </w:p>
        </w:tc>
        <w:tc>
          <w:tcPr>
            <w:tcW w:type="dxa" w:w="631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@earendil-works/pi-coding-agent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 0.85.1，由安装脚本安装在程序目录内，不影响全局环境</w:t>
            </w:r>
          </w:p>
        </w:tc>
      </w:tr>
      <w:tr>
        <w:trPr>
          <w:cantSplit/>
        </w:trPr>
        <w:tc>
          <w:tcPr>
            <w:tcW w:type="dxa" w:w="2421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上游大模型接口</w:t>
            </w:r>
          </w:p>
        </w:tc>
        <w:tc>
          <w:tcPr>
            <w:tcW w:type="dxa" w:w="6310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OpenAI 兼容的 Chat Completions 或 Responses 接口，供 Pi 与慢镜使用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2-3  Python 依赖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3083"/>
        <w:gridCol w:w="2235"/>
        <w:gridCol w:w="3411"/>
      </w:tblGrid>
      <w:tr>
        <w:trPr>
          <w:tblHeader w:val="true"/>
          <w:cantSplit/>
        </w:trPr>
        <w:tc>
          <w:tcPr>
            <w:tcW w:type="dxa" w:w="3084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依赖文件</w:t>
            </w:r>
          </w:p>
        </w:tc>
        <w:tc>
          <w:tcPr>
            <w:tcW w:type="dxa" w:w="2236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用途</w:t>
            </w:r>
          </w:p>
        </w:tc>
        <w:tc>
          <w:tcPr>
            <w:tcW w:type="dxa" w:w="3411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主要依赖与版本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requirements-core.txt</w:t>
            </w:r>
          </w:p>
        </w:tc>
        <w:tc>
          <w:tcPr>
            <w:tcW w:type="dxa" w:w="2236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防护内核与安全控制台</w:t>
            </w:r>
          </w:p>
        </w:tc>
        <w:tc>
          <w:tcPr>
            <w:tcW w:type="dxa" w:w="341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pydantic 2.11.3、httpx 0.28.1、PyYAML 6.0.2、regex 2025.10.23、bashlex 0.18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requirements-gpu.txt</w:t>
            </w:r>
          </w:p>
        </w:tc>
        <w:tc>
          <w:tcPr>
            <w:tcW w:type="dxa" w:w="2236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快镜推理（GPU 与 CPU 通用）</w:t>
            </w:r>
          </w:p>
        </w:tc>
        <w:tc>
          <w:tcPr>
            <w:tcW w:type="dxa" w:w="3411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torch 2.10.0、transformers 4.57.3、tokenizers 0.22.1、safetensors 0.6.2、numpy 2.2.6、scikit-learn 1.7.2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需要说明的是，程序包附带的快镜权重是防护模型，不能替代 Pi 所使用的上游大模型；完整运行模式必须另行提供一个可用的上游大模型接口。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2.3 网络要求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首次安装时需要访问 Python 与 npm 的软件包源，以安装依赖与固定版本的 Pi。运行时，网关需要访问所配置的上游大模型接口，慢镜需要访问其所配置的接口；</w:t>
      </w:r>
      <w:r>
        <w:rPr>
          <w:rFonts w:ascii="Times New Roman" w:hAnsi="Times New Roman" w:eastAsia="宋体" w:cs="Times New Roman"/>
          <w:b/>
          <w:sz w:val="24"/>
        </w:rPr>
        <w:t>快镜推理与同步裁决均在本地完成，不依赖任何远端服务。</w:t>
      </w:r>
      <w:r>
        <w:rPr>
          <w:rFonts w:ascii="Times New Roman" w:hAnsi="Times New Roman" w:eastAsia="宋体" w:cs="Times New Roman"/>
          <w:b w:val="0"/>
          <w:sz w:val="24"/>
        </w:rPr>
        <w:t>安全控制台默认只监听本机地址，页面不加载任何外部资源。</w:t>
      </w:r>
    </w:p>
    <w:p>
      <w:pPr>
        <w:pStyle w:val="2"/>
        <w:keepNext/>
        <w:pageBreakBefore/>
        <w:snapToGrid w:val="0"/>
        <w:spacing w:before="120" w:after="360" w:line="360" w:lineRule="auto"/>
        <w:jc w:val="center"/>
      </w:pPr>
      <w:r>
        <w:rPr>
          <w:rFonts w:ascii="Arial" w:hAnsi="Arial" w:eastAsia="黑体" w:cs="Arial"/>
          <w:b w:val="0"/>
          <w:sz w:val="32"/>
        </w:rPr>
        <w:t>第三章 程序包结构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程序包解压后的主要内容如表 3-1 所示。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3-1  程序包结构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4132"/>
        <w:gridCol w:w="4598"/>
      </w:tblGrid>
      <w:tr>
        <w:trPr>
          <w:tblHeader w:val="true"/>
          <w:cantSplit/>
        </w:trPr>
        <w:tc>
          <w:tcPr>
            <w:tcW w:type="dxa" w:w="4132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目录或文件</w:t>
            </w:r>
          </w:p>
        </w:tc>
        <w:tc>
          <w:tcPr>
            <w:tcW w:type="dxa" w:w="4598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内容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src/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防护内核（证据库、增量安全链、策略、决策表、直接注入识别、溯源、慢镜）、API 侧网关、MCP 中间代理、快镜推理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extensions/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Pi 钩子插件与工具边界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console/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安全控制台（Python 服务端与静态前端）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scenarios/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83 个正式评测场景及演示场景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weights/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快镜 D²Guard-Laya 权重与原版 Laya 基线权重，各附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SHA256SUMS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training/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快镜训练复现脚本与数据格式样例（训练数据不随包分发）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tests/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acceptance/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单元测试与验收证明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runs/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演示与验收运行的完整证据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tools/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安装、配置、控制台启动与打包工具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lab.py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run_evaluation.py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verify_v2.py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单次运行、批量评测与证据核验入口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setup-windows.bat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setup-linux.sh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完整运行环境的安装与配置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start-console.bat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start-console.sh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启动安全控制台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policies.yaml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规则与硬策略配置</w:t>
            </w:r>
          </w:p>
        </w:tc>
      </w:tr>
      <w:tr>
        <w:trPr>
          <w:cantSplit/>
        </w:trPr>
        <w:tc>
          <w:tcPr>
            <w:tcW w:type="dxa" w:w="4132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使用说明.md</w:t>
            </w:r>
          </w:p>
        </w:tc>
        <w:tc>
          <w:tcPr>
            <w:tcW w:type="dxa" w:w="4598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40" w:line="276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安装、控制台功能、本地配置与测试命令的简要说明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 xml:space="preserve">本地配置目录 </w:t>
      </w:r>
      <w:r>
        <w:rPr>
          <w:rFonts w:ascii="Times New Roman" w:hAnsi="Times New Roman" w:eastAsia="宋体" w:cs="Times New Roman"/>
          <w:b w:val="0"/>
          <w:sz w:val="24"/>
        </w:rPr>
        <w:t>.local/</w:t>
      </w:r>
      <w:r>
        <w:rPr>
          <w:rFonts w:ascii="Times New Roman" w:hAnsi="Times New Roman" w:eastAsia="宋体" w:cs="Times New Roman"/>
          <w:b w:val="0"/>
          <w:sz w:val="24"/>
        </w:rPr>
        <w:t>、虚拟环境与缓存文件不进入程序包，每台主机在安装时重新生成。</w:t>
      </w:r>
    </w:p>
    <w:p>
      <w:pPr>
        <w:pStyle w:val="2"/>
        <w:keepNext/>
        <w:pageBreakBefore/>
        <w:snapToGrid w:val="0"/>
        <w:spacing w:before="120" w:after="360" w:line="360" w:lineRule="auto"/>
        <w:jc w:val="center"/>
      </w:pPr>
      <w:r>
        <w:rPr>
          <w:rFonts w:ascii="Arial" w:hAnsi="Arial" w:eastAsia="黑体" w:cs="Arial"/>
          <w:b w:val="0"/>
          <w:sz w:val="32"/>
        </w:rPr>
        <w:t>第四章 部署实现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4.1 Windows 部署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Windows 部署由两个批处理脚本完成，无需 WSL 或 Linux 虚拟机。</w:t>
      </w:r>
      <w:r>
        <w:rPr>
          <w:rFonts w:ascii="Times New Roman" w:hAnsi="Times New Roman" w:eastAsia="宋体" w:cs="Times New Roman"/>
          <w:b w:val="0"/>
          <w:sz w:val="24"/>
        </w:rPr>
        <w:t>具体步骤如下。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（1）安装 Python 3.12、Node.js 22.19 及以上版本与 Git for Windows，并加入 PATH。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 xml:space="preserve">（2）双击程序目录中的 </w:t>
      </w:r>
      <w:r>
        <w:rPr>
          <w:rFonts w:ascii="Times New Roman" w:hAnsi="Times New Roman" w:eastAsia="宋体" w:cs="Times New Roman"/>
          <w:b w:val="0"/>
          <w:sz w:val="24"/>
        </w:rPr>
        <w:t>setup-windows.bat</w:t>
      </w:r>
      <w:r>
        <w:rPr>
          <w:rFonts w:ascii="Times New Roman" w:hAnsi="Times New Roman" w:eastAsia="宋体" w:cs="Times New Roman"/>
          <w:b w:val="0"/>
          <w:sz w:val="24"/>
        </w:rPr>
        <w:t xml:space="preserve">。脚本优先使用 Python 3.12，创建独立的虚拟环境 </w:t>
      </w:r>
      <w:r>
        <w:rPr>
          <w:rFonts w:ascii="Times New Roman" w:hAnsi="Times New Roman" w:eastAsia="宋体" w:cs="Times New Roman"/>
          <w:b w:val="0"/>
          <w:sz w:val="24"/>
        </w:rPr>
        <w:t>.venv-windows</w:t>
      </w:r>
      <w:r>
        <w:rPr>
          <w:rFonts w:ascii="Times New Roman" w:hAnsi="Times New Roman" w:eastAsia="宋体" w:cs="Times New Roman"/>
          <w:b w:val="0"/>
          <w:sz w:val="24"/>
        </w:rPr>
        <w:t>，安装 Python 依赖，在程序目录内安装固定版本的 Pi，并依次提示输入上游模型接口地址、API 密钥、模型名称与接口类型。首次安装需要联网，已有配置会被保留。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 xml:space="preserve">（3）双击 </w:t>
      </w:r>
      <w:r>
        <w:rPr>
          <w:rFonts w:ascii="Times New Roman" w:hAnsi="Times New Roman" w:eastAsia="宋体" w:cs="Times New Roman"/>
          <w:b w:val="0"/>
          <w:sz w:val="24"/>
        </w:rPr>
        <w:t>start-console.bat</w:t>
      </w:r>
      <w:r>
        <w:rPr>
          <w:rFonts w:ascii="Times New Roman" w:hAnsi="Times New Roman" w:eastAsia="宋体" w:cs="Times New Roman"/>
          <w:b w:val="0"/>
          <w:sz w:val="24"/>
        </w:rPr>
        <w:t xml:space="preserve">，在浏览器中打开 </w:t>
      </w:r>
      <w:r>
        <w:rPr>
          <w:rFonts w:ascii="Times New Roman" w:hAnsi="Times New Roman" w:eastAsia="宋体" w:cs="Times New Roman"/>
          <w:b w:val="0"/>
          <w:sz w:val="24"/>
        </w:rPr>
        <w:t>http://127.0.0.1:8768/</w:t>
      </w:r>
      <w:r>
        <w:rPr>
          <w:rFonts w:ascii="Times New Roman" w:hAnsi="Times New Roman" w:eastAsia="宋体" w:cs="Times New Roman"/>
          <w:b w:val="0"/>
          <w:sz w:val="24"/>
        </w:rPr>
        <w:t xml:space="preserve"> 即进入安全控制台。关闭启动窗口即停止服务。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Windows 上的命令与 Git 类工具通过 Git for Windows 提供的 Bash 执行，超时或结束时由 Windows 作业对象清理整个子进程树。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4.2 Linux 部署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在程序目录下执行：</w:t>
      </w:r>
    </w:p>
    <w:p>
      <w:pPr>
        <w:shd w:val="clear" w:color="auto" w:fill="F3F5F8"/>
        <w:snapToGrid w:val="0"/>
        <w:spacing w:before="80" w:after="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sh setup-linux.sh        # 创建 .venv、安装依赖与 Pi 0.85.1、配置上游接口与快镜</w:t>
      </w:r>
    </w:p>
    <w:p>
      <w:pPr>
        <w:shd w:val="clear" w:color="auto" w:fill="F3F5F8"/>
        <w:snapToGrid w:val="0"/>
        <w:spacing w:before="0" w:after="8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sh start-console.sh      # 启动安全控制台，浏览器打开 http://127.0.0.1:8768/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setup-linux.sh</w:t>
      </w:r>
      <w:r>
        <w:rPr>
          <w:rFonts w:ascii="Times New Roman" w:hAnsi="Times New Roman" w:eastAsia="宋体" w:cs="Times New Roman"/>
          <w:b w:val="0"/>
          <w:sz w:val="24"/>
        </w:rPr>
        <w:t xml:space="preserve"> 等价于以下手动步骤：</w:t>
      </w:r>
    </w:p>
    <w:p>
      <w:pPr>
        <w:shd w:val="clear" w:color="auto" w:fill="F3F5F8"/>
        <w:snapToGrid w:val="0"/>
        <w:spacing w:before="80" w:after="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python3 -m venv .venv</w:t>
      </w:r>
    </w:p>
    <w:p>
      <w:pPr>
        <w:shd w:val="clear" w:color="auto" w:fill="F3F5F8"/>
        <w:snapToGrid w:val="0"/>
        <w:spacing w:before="0" w:after="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.venv/bin/python -m pip install -r requirements-core.txt -r requirements-gpu.txt</w:t>
      </w:r>
    </w:p>
    <w:p>
      <w:pPr>
        <w:shd w:val="clear" w:color="auto" w:fill="F3F5F8"/>
        <w:snapToGrid w:val="0"/>
        <w:spacing w:before="0" w:after="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npm install --prefix .local/pi-runtime --global @earendil-works/pi-coding-agent@0.85.1</w:t>
      </w:r>
    </w:p>
    <w:p>
      <w:pPr>
        <w:shd w:val="clear" w:color="auto" w:fill="F3F5F8"/>
        <w:snapToGrid w:val="0"/>
        <w:spacing w:before="0" w:after="8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.venv/bin/python tools/configure_delivery.py --interactive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未执行完整安装时，</w:t>
      </w:r>
      <w:r>
        <w:rPr>
          <w:rFonts w:ascii="Times New Roman" w:hAnsi="Times New Roman" w:eastAsia="宋体" w:cs="Times New Roman"/>
          <w:b w:val="0"/>
          <w:sz w:val="24"/>
        </w:rPr>
        <w:t>start-console.sh</w:t>
      </w:r>
      <w:r>
        <w:rPr>
          <w:rFonts w:ascii="Times New Roman" w:hAnsi="Times New Roman" w:eastAsia="宋体" w:cs="Times New Roman"/>
          <w:b w:val="0"/>
          <w:sz w:val="24"/>
        </w:rPr>
        <w:t xml:space="preserve"> 只安装 </w:t>
      </w:r>
      <w:r>
        <w:rPr>
          <w:rFonts w:ascii="Times New Roman" w:hAnsi="Times New Roman" w:eastAsia="宋体" w:cs="Times New Roman"/>
          <w:b w:val="0"/>
          <w:sz w:val="24"/>
        </w:rPr>
        <w:t>requirements-core.txt</w:t>
      </w:r>
      <w:r>
        <w:rPr>
          <w:rFonts w:ascii="Times New Roman" w:hAnsi="Times New Roman" w:eastAsia="宋体" w:cs="Times New Roman"/>
          <w:b w:val="0"/>
          <w:sz w:val="24"/>
        </w:rPr>
        <w:t xml:space="preserve"> 并以历史浏览模式启动。默认端口被占用时，可通过环境变量更换端口，例如 </w:t>
      </w:r>
      <w:r>
        <w:rPr>
          <w:rFonts w:ascii="Times New Roman" w:hAnsi="Times New Roman" w:eastAsia="宋体" w:cs="Times New Roman"/>
          <w:b w:val="0"/>
          <w:sz w:val="24"/>
        </w:rPr>
        <w:t>PORT=8770 sh start-console.sh</w:t>
      </w:r>
      <w:r>
        <w:rPr>
          <w:rFonts w:ascii="Times New Roman" w:hAnsi="Times New Roman" w:eastAsia="宋体" w:cs="Times New Roman"/>
          <w:b w:val="0"/>
          <w:sz w:val="24"/>
        </w:rPr>
        <w:t xml:space="preserve">；Windows 下对应为 </w:t>
      </w:r>
      <w:r>
        <w:rPr>
          <w:rFonts w:ascii="Times New Roman" w:hAnsi="Times New Roman" w:eastAsia="宋体" w:cs="Times New Roman"/>
          <w:b w:val="0"/>
          <w:sz w:val="24"/>
        </w:rPr>
        <w:t>start-console.bat --port 8770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4.3 上游接口配置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 xml:space="preserve">配置工具 </w:t>
      </w:r>
      <w:r>
        <w:rPr>
          <w:rFonts w:ascii="Times New Roman" w:hAnsi="Times New Roman" w:eastAsia="宋体" w:cs="Times New Roman"/>
          <w:b w:val="0"/>
          <w:sz w:val="24"/>
        </w:rPr>
        <w:t>tools/configure_delivery.py</w:t>
      </w:r>
      <w:r>
        <w:rPr>
          <w:rFonts w:ascii="Times New Roman" w:hAnsi="Times New Roman" w:eastAsia="宋体" w:cs="Times New Roman"/>
          <w:b w:val="0"/>
          <w:sz w:val="24"/>
        </w:rPr>
        <w:t xml:space="preserve"> 生成 </w:t>
      </w:r>
      <w:r>
        <w:rPr>
          <w:rFonts w:ascii="Times New Roman" w:hAnsi="Times New Roman" w:eastAsia="宋体" w:cs="Times New Roman"/>
          <w:b w:val="0"/>
          <w:sz w:val="24"/>
        </w:rPr>
        <w:t>.local/provider.json</w:t>
      </w:r>
      <w:r>
        <w:rPr>
          <w:rFonts w:ascii="Times New Roman" w:hAnsi="Times New Roman" w:eastAsia="宋体" w:cs="Times New Roman"/>
          <w:b w:val="0"/>
          <w:sz w:val="24"/>
        </w:rPr>
        <w:t>（上游接口）、</w:t>
      </w:r>
      <w:r>
        <w:rPr>
          <w:rFonts w:ascii="Times New Roman" w:hAnsi="Times New Roman" w:eastAsia="宋体" w:cs="Times New Roman"/>
          <w:b w:val="0"/>
          <w:sz w:val="24"/>
        </w:rPr>
        <w:t>.local/laya.json</w:t>
      </w:r>
      <w:r>
        <w:rPr>
          <w:rFonts w:ascii="Times New Roman" w:hAnsi="Times New Roman" w:eastAsia="宋体" w:cs="Times New Roman"/>
          <w:b w:val="0"/>
          <w:sz w:val="24"/>
        </w:rPr>
        <w:t xml:space="preserve">（原版 Laya 基线）与 </w:t>
      </w:r>
      <w:r>
        <w:rPr>
          <w:rFonts w:ascii="Times New Roman" w:hAnsi="Times New Roman" w:eastAsia="宋体" w:cs="Times New Roman"/>
          <w:b w:val="0"/>
          <w:sz w:val="24"/>
        </w:rPr>
        <w:t>.local/s1.json</w:t>
      </w:r>
      <w:r>
        <w:rPr>
          <w:rFonts w:ascii="Times New Roman" w:hAnsi="Times New Roman" w:eastAsia="宋体" w:cs="Times New Roman"/>
          <w:b w:val="0"/>
          <w:sz w:val="24"/>
        </w:rPr>
        <w:t xml:space="preserve">（快镜，S1 即 System One 决策模型）三个本地配置文件。上游接口也可以通过环境变量 </w:t>
      </w:r>
      <w:r>
        <w:rPr>
          <w:rFonts w:ascii="Times New Roman" w:hAnsi="Times New Roman" w:eastAsia="宋体" w:cs="Times New Roman"/>
          <w:b w:val="0"/>
          <w:sz w:val="24"/>
        </w:rPr>
        <w:t>D2_PROVIDER_BASE_URL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sz w:val="24"/>
        </w:rPr>
        <w:t>D2_PROVIDER_API_KEY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Times New Roman" w:hAnsi="Times New Roman" w:eastAsia="宋体" w:cs="Times New Roman"/>
          <w:b w:val="0"/>
          <w:sz w:val="24"/>
        </w:rPr>
        <w:t>D2_PROVIDER_MODEL</w:t>
      </w:r>
      <w:r>
        <w:rPr>
          <w:rFonts w:ascii="Times New Roman" w:hAnsi="Times New Roman" w:eastAsia="宋体" w:cs="Times New Roman"/>
          <w:b w:val="0"/>
          <w:sz w:val="24"/>
        </w:rPr>
        <w:t xml:space="preserve"> 与可选的 </w:t>
      </w:r>
      <w:r>
        <w:rPr>
          <w:rFonts w:ascii="Times New Roman" w:hAnsi="Times New Roman" w:eastAsia="宋体" w:cs="Times New Roman"/>
          <w:b w:val="0"/>
          <w:sz w:val="24"/>
        </w:rPr>
        <w:t>D2_PROVIDER_API_STYLE</w:t>
      </w:r>
      <w:r>
        <w:rPr>
          <w:rFonts w:ascii="Times New Roman" w:hAnsi="Times New Roman" w:eastAsia="宋体" w:cs="Times New Roman"/>
          <w:b w:val="0"/>
          <w:sz w:val="24"/>
        </w:rPr>
        <w:t xml:space="preserve"> 提供。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/>
          <w:sz w:val="24"/>
        </w:rPr>
        <w:t>密钥只保存在本机的 `.local/` 目录中，仅由本地防护服务读取，不出现在命令行参数、运行日志与 Pi 的配置中。</w:t>
      </w:r>
      <w:r>
        <w:rPr>
          <w:rFonts w:ascii="Times New Roman" w:hAnsi="Times New Roman" w:eastAsia="宋体" w:cs="Times New Roman"/>
          <w:b w:val="0"/>
          <w:sz w:val="24"/>
        </w:rPr>
        <w:t xml:space="preserve">Pi 只与本地网关通信，由网关携带密钥访问上游接口。更换主机时应重新运行安装脚本，而不是复制旧主机的 </w:t>
      </w:r>
      <w:r>
        <w:rPr>
          <w:rFonts w:ascii="Times New Roman" w:hAnsi="Times New Roman" w:eastAsia="宋体" w:cs="Times New Roman"/>
          <w:b w:val="0"/>
          <w:sz w:val="24"/>
        </w:rPr>
        <w:t>.local/</w:t>
      </w:r>
      <w:r>
        <w:rPr>
          <w:rFonts w:ascii="Times New Roman" w:hAnsi="Times New Roman" w:eastAsia="宋体" w:cs="Times New Roman"/>
          <w:b w:val="0"/>
          <w:sz w:val="24"/>
        </w:rPr>
        <w:t xml:space="preserve"> 目录。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4.4 快镜配置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 xml:space="preserve">快镜权重随程序包交付，位于 </w:t>
      </w:r>
      <w:r>
        <w:rPr>
          <w:rFonts w:ascii="Times New Roman" w:hAnsi="Times New Roman" w:eastAsia="宋体" w:cs="Times New Roman"/>
          <w:b w:val="0"/>
          <w:sz w:val="24"/>
        </w:rPr>
        <w:t>weights/D2Guard-multilingual/</w:t>
      </w:r>
      <w:r>
        <w:rPr>
          <w:rFonts w:ascii="Times New Roman" w:hAnsi="Times New Roman" w:eastAsia="宋体" w:cs="Times New Roman"/>
          <w:b w:val="0"/>
          <w:sz w:val="24"/>
        </w:rPr>
        <w:t xml:space="preserve">，主要参数如表 4-1 所示。配置工具依据本机 CUDA 可用性自动选择 </w:t>
      </w:r>
      <w:r>
        <w:rPr>
          <w:rFonts w:ascii="Times New Roman" w:hAnsi="Times New Roman" w:eastAsia="宋体" w:cs="Times New Roman"/>
          <w:b w:val="0"/>
          <w:sz w:val="24"/>
        </w:rPr>
        <w:t>cuda:0</w:t>
      </w:r>
      <w:r>
        <w:rPr>
          <w:rFonts w:ascii="Times New Roman" w:hAnsi="Times New Roman" w:eastAsia="宋体" w:cs="Times New Roman"/>
          <w:b w:val="0"/>
          <w:sz w:val="24"/>
        </w:rPr>
        <w:t xml:space="preserve"> 或 </w:t>
      </w:r>
      <w:r>
        <w:rPr>
          <w:rFonts w:ascii="Times New Roman" w:hAnsi="Times New Roman" w:eastAsia="宋体" w:cs="Times New Roman"/>
          <w:b w:val="0"/>
          <w:sz w:val="24"/>
        </w:rPr>
        <w:t>cpu</w:t>
      </w:r>
      <w:r>
        <w:rPr>
          <w:rFonts w:ascii="Times New Roman" w:hAnsi="Times New Roman" w:eastAsia="宋体" w:cs="Times New Roman"/>
          <w:b w:val="0"/>
          <w:sz w:val="24"/>
        </w:rPr>
        <w:t xml:space="preserve">，也可通过 </w:t>
      </w:r>
      <w:r>
        <w:rPr>
          <w:rFonts w:ascii="Times New Roman" w:hAnsi="Times New Roman" w:eastAsia="宋体" w:cs="Times New Roman"/>
          <w:b w:val="0"/>
          <w:sz w:val="24"/>
        </w:rPr>
        <w:t>--device cpu</w:t>
      </w:r>
      <w:r>
        <w:rPr>
          <w:rFonts w:ascii="Times New Roman" w:hAnsi="Times New Roman" w:eastAsia="宋体" w:cs="Times New Roman"/>
          <w:b w:val="0"/>
          <w:sz w:val="24"/>
        </w:rPr>
        <w:t xml:space="preserve"> 显式指定。</w:t>
      </w:r>
      <w:r>
        <w:rPr>
          <w:rFonts w:ascii="Times New Roman" w:hAnsi="Times New Roman" w:eastAsia="宋体" w:cs="Times New Roman"/>
          <w:b/>
          <w:sz w:val="24"/>
        </w:rPr>
        <w:t>加载时逐文件校验 SHA-256，校验失败则拒绝启用快镜；配置了 CUDA 但不可用时直接报错，不会静默退回 CPU。</w:t>
      </w:r>
      <w:r>
        <w:rPr>
          <w:rFonts w:ascii="Times New Roman" w:hAnsi="Times New Roman" w:eastAsia="宋体" w:cs="Times New Roman"/>
          <w:b w:val="0"/>
          <w:sz w:val="24"/>
        </w:rPr>
        <w:t xml:space="preserve">设置环境变量 </w:t>
      </w:r>
      <w:r>
        <w:rPr>
          <w:rFonts w:ascii="Times New Roman" w:hAnsi="Times New Roman" w:eastAsia="宋体" w:cs="Times New Roman"/>
          <w:b w:val="0"/>
          <w:sz w:val="24"/>
        </w:rPr>
        <w:t>D2_S1_DISABLE=1</w:t>
      </w:r>
      <w:r>
        <w:rPr>
          <w:rFonts w:ascii="Times New Roman" w:hAnsi="Times New Roman" w:eastAsia="宋体" w:cs="Times New Roman"/>
          <w:b w:val="0"/>
          <w:sz w:val="24"/>
        </w:rPr>
        <w:t xml:space="preserve"> 可关闭快镜、仅使用规则，用于消融对照。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4-1  快镜参数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596"/>
        <w:gridCol w:w="6134"/>
      </w:tblGrid>
      <w:tr>
        <w:trPr>
          <w:tblHeader w:val="true"/>
          <w:cantSplit/>
        </w:trPr>
        <w:tc>
          <w:tcPr>
            <w:tcW w:type="dxa" w:w="2596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项</w:t>
            </w:r>
          </w:p>
        </w:tc>
        <w:tc>
          <w:tcPr>
            <w:tcW w:type="dxa" w:w="6134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值</w:t>
            </w:r>
          </w:p>
        </w:tc>
      </w:tr>
      <w:tr>
        <w:trPr>
          <w:cantSplit/>
        </w:trPr>
        <w:tc>
          <w:tcPr>
            <w:tcW w:type="dxa" w:w="2596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权重文件 SHA-256</w:t>
            </w:r>
          </w:p>
        </w:tc>
        <w:tc>
          <w:tcPr>
            <w:tcW w:type="dxa" w:w="6134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7e96b8c58d52eb6bfc1801b89231217287cfb2ba5d800cc6478f663cbc281fb1</w:t>
            </w:r>
          </w:p>
        </w:tc>
      </w:tr>
      <w:tr>
        <w:trPr>
          <w:cantSplit/>
        </w:trPr>
        <w:tc>
          <w:tcPr>
            <w:tcW w:type="dxa" w:w="2596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温度</w:t>
            </w:r>
          </w:p>
        </w:tc>
        <w:tc>
          <w:tcPr>
            <w:tcW w:type="dxa" w:w="6134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1.2114818</w:t>
            </w:r>
          </w:p>
        </w:tc>
      </w:tr>
      <w:tr>
        <w:trPr>
          <w:cantSplit/>
        </w:trPr>
        <w:tc>
          <w:tcPr>
            <w:tcW w:type="dxa" w:w="2596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判定阈值</w:t>
            </w:r>
          </w:p>
        </w:tc>
        <w:tc>
          <w:tcPr>
            <w:tcW w:type="dxa" w:w="6134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0.5（request 概率不低于 0.5 时判为请求污染）</w:t>
            </w:r>
          </w:p>
        </w:tc>
      </w:tr>
      <w:tr>
        <w:trPr>
          <w:cantSplit/>
        </w:trPr>
        <w:tc>
          <w:tcPr>
            <w:tcW w:type="dxa" w:w="2596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判定模式</w:t>
            </w:r>
          </w:p>
        </w:tc>
        <w:tc>
          <w:tcPr>
            <w:tcW w:type="dxa" w:w="6134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来源级请求污染判定（配置值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taint_gate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，默认）：request 概率不低于阈值的来源并入请求污染集合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4.5 慢镜配置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 xml:space="preserve">慢镜默认沿用智能体的上游接口，也可在安全控制台的“模型设置”页中单独指定接口地址、API 密钥与模型名称，配置保存为 </w:t>
      </w:r>
      <w:r>
        <w:rPr>
          <w:rFonts w:ascii="Times New Roman" w:hAnsi="Times New Roman" w:eastAsia="宋体" w:cs="Times New Roman"/>
          <w:b w:val="0"/>
          <w:sz w:val="24"/>
        </w:rPr>
        <w:t>.local/review.json</w:t>
      </w:r>
      <w:r>
        <w:rPr>
          <w:rFonts w:ascii="Times New Roman" w:hAnsi="Times New Roman" w:eastAsia="宋体" w:cs="Times New Roman"/>
          <w:b w:val="0"/>
          <w:sz w:val="24"/>
        </w:rPr>
        <w:t>。修改从下一次运行开始生效，每轮运行清单记录所用的智能体模型与慢镜模型。页面不回显已保存的密钥；更换接口地址时须重新填写密钥，已保存的密钥不会发往新的地址。</w:t>
      </w:r>
      <w:r>
        <w:rPr>
          <w:rFonts w:ascii="Times New Roman" w:hAnsi="Times New Roman" w:eastAsia="宋体" w:cs="Times New Roman"/>
          <w:b/>
          <w:sz w:val="24"/>
        </w:rPr>
        <w:t>慢镜只在挂起或阻断后异步运行，其输出用于研判与溯源，不改变任何裁决。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4.6 部署验证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部署完成后，按以下顺序验证。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（1）</w:t>
      </w:r>
      <w:r>
        <w:rPr>
          <w:rFonts w:ascii="Times New Roman" w:hAnsi="Times New Roman" w:eastAsia="宋体" w:cs="Times New Roman"/>
          <w:b/>
          <w:sz w:val="24"/>
        </w:rPr>
        <w:t>单元测试。</w:t>
      </w:r>
      <w:r>
        <w:rPr>
          <w:rFonts w:ascii="Times New Roman" w:hAnsi="Times New Roman" w:eastAsia="宋体" w:cs="Times New Roman"/>
          <w:b w:val="0"/>
          <w:sz w:val="24"/>
        </w:rPr>
        <w:t xml:space="preserve">在程序目录下执行以下命令，Python 单元测试、控制台测试与 Node.js 测试均应全部通过。Windows 下将解释器替换为 </w:t>
      </w:r>
      <w:r>
        <w:rPr>
          <w:rFonts w:ascii="Times New Roman" w:hAnsi="Times New Roman" w:eastAsia="宋体" w:cs="Times New Roman"/>
          <w:b w:val="0"/>
          <w:sz w:val="24"/>
        </w:rPr>
        <w:t>.venv-windows\Scripts\python.exe</w:t>
      </w:r>
      <w:r>
        <w:rPr>
          <w:rFonts w:ascii="Times New Roman" w:hAnsi="Times New Roman" w:eastAsia="宋体" w:cs="Times New Roman"/>
          <w:b w:val="0"/>
          <w:sz w:val="24"/>
        </w:rPr>
        <w:t xml:space="preserve">，PowerShell 中 </w:t>
      </w:r>
      <w:r>
        <w:rPr>
          <w:rFonts w:ascii="Times New Roman" w:hAnsi="Times New Roman" w:eastAsia="宋体" w:cs="Times New Roman"/>
          <w:b w:val="0"/>
          <w:sz w:val="24"/>
        </w:rPr>
        <w:t>PYTHONPATH</w:t>
      </w:r>
      <w:r>
        <w:rPr>
          <w:rFonts w:ascii="Times New Roman" w:hAnsi="Times New Roman" w:eastAsia="宋体" w:cs="Times New Roman"/>
          <w:b w:val="0"/>
          <w:sz w:val="24"/>
        </w:rPr>
        <w:t xml:space="preserve"> 的分隔符为分号。</w:t>
      </w:r>
    </w:p>
    <w:p>
      <w:pPr>
        <w:shd w:val="clear" w:color="auto" w:fill="F3F5F8"/>
        <w:snapToGrid w:val="0"/>
        <w:spacing w:before="80" w:after="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PYTHONPATH="$PWD/src:$PWD/tests" .venv/bin/python -m unittest discover -s tests -p 'test_*.py'</w:t>
      </w:r>
    </w:p>
    <w:p>
      <w:pPr>
        <w:shd w:val="clear" w:color="auto" w:fill="F3F5F8"/>
        <w:snapToGrid w:val="0"/>
        <w:spacing w:before="0" w:after="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PYTHONPATH="$PWD/src:$PWD/console:$PWD/tests" .venv/bin/python -m unittest discover -s console -p 'test_*.py'</w:t>
      </w:r>
    </w:p>
    <w:p>
      <w:pPr>
        <w:shd w:val="clear" w:color="auto" w:fill="F3F5F8"/>
        <w:snapToGrid w:val="0"/>
        <w:spacing w:before="0" w:after="8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npm test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（2）</w:t>
      </w:r>
      <w:r>
        <w:rPr>
          <w:rFonts w:ascii="Times New Roman" w:hAnsi="Times New Roman" w:eastAsia="宋体" w:cs="Times New Roman"/>
          <w:b/>
          <w:sz w:val="24"/>
        </w:rPr>
        <w:t>上游接口连通性。</w:t>
      </w:r>
      <w:r>
        <w:rPr>
          <w:rFonts w:ascii="Times New Roman" w:hAnsi="Times New Roman" w:eastAsia="宋体" w:cs="Times New Roman"/>
          <w:b w:val="0"/>
          <w:sz w:val="24"/>
        </w:rPr>
        <w:t>在安全控制台的“模型设置”页中点击测试连接，页面向所配置的接口发送一条极短的请求，并显示返回内容与往返耗时；失败时显示连接错误或 HTTP 状态码。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（3）端到端运行。在“攻防竞技场”中选择一个间接注入场景，例如 c-indirect-readme，同时发起防护关闭与防护开启两路真实运行。检查防护关闭时是否产生实际攻击尝试，以及防护开启时对应风险动作是否在执行前挂起或阻断；模型也可能自行拒绝攻击，应按实际轨迹记录，“溯源分析”页可查看对应的来源、裁决与溯源图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（4）</w:t>
      </w:r>
      <w:r>
        <w:rPr>
          <w:rFonts w:ascii="Times New Roman" w:hAnsi="Times New Roman" w:eastAsia="宋体" w:cs="Times New Roman"/>
          <w:b/>
          <w:sz w:val="24"/>
        </w:rPr>
        <w:t>证据核验。</w:t>
      </w:r>
      <w:r>
        <w:rPr>
          <w:rFonts w:ascii="Times New Roman" w:hAnsi="Times New Roman" w:eastAsia="宋体" w:cs="Times New Roman"/>
          <w:b w:val="0"/>
          <w:sz w:val="24"/>
        </w:rPr>
        <w:t xml:space="preserve">对上述运行执行 </w:t>
      </w:r>
      <w:r>
        <w:rPr>
          <w:rFonts w:ascii="Times New Roman" w:hAnsi="Times New Roman" w:eastAsia="宋体" w:cs="Times New Roman"/>
          <w:b w:val="0"/>
          <w:sz w:val="24"/>
        </w:rPr>
        <w:t>verify_v2.py</w:t>
      </w:r>
      <w:r>
        <w:rPr>
          <w:rFonts w:ascii="Times New Roman" w:hAnsi="Times New Roman" w:eastAsia="宋体" w:cs="Times New Roman"/>
          <w:b w:val="0"/>
          <w:sz w:val="24"/>
        </w:rPr>
        <w:t>，核验源码与资源哈希、事件链、裁决与执行的对应关系以及接收端回执，全部通过即说明部署完整。</w:t>
      </w:r>
    </w:p>
    <w:p>
      <w:pPr>
        <w:pStyle w:val="2"/>
        <w:keepNext/>
        <w:pageBreakBefore/>
        <w:snapToGrid w:val="0"/>
        <w:spacing w:before="120" w:after="360" w:line="360" w:lineRule="auto"/>
        <w:jc w:val="center"/>
      </w:pPr>
      <w:r>
        <w:rPr>
          <w:rFonts w:ascii="Arial" w:hAnsi="Arial" w:eastAsia="黑体" w:cs="Arial"/>
          <w:b w:val="0"/>
          <w:sz w:val="32"/>
        </w:rPr>
        <w:t>第五章 运行与使用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5.1 安全控制台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 xml:space="preserve">安全控制台首次启动时为 </w:t>
      </w:r>
      <w:r>
        <w:rPr>
          <w:rFonts w:ascii="Times New Roman" w:hAnsi="Times New Roman" w:eastAsia="宋体" w:cs="Times New Roman"/>
          <w:b w:val="0"/>
          <w:sz w:val="24"/>
        </w:rPr>
        <w:t>runs/</w:t>
      </w:r>
      <w:r>
        <w:rPr>
          <w:rFonts w:ascii="Times New Roman" w:hAnsi="Times New Roman" w:eastAsia="宋体" w:cs="Times New Roman"/>
          <w:b w:val="0"/>
          <w:sz w:val="24"/>
        </w:rPr>
        <w:t xml:space="preserve"> 下的全部运行建立索引，各页面的用途如表 5-1 所示。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5-1  安全控制台页面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6660"/>
      </w:tblGrid>
      <w:tr>
        <w:trPr>
          <w:tblHeader w:val="true"/>
          <w:cantSplit/>
        </w:trPr>
        <w:tc>
          <w:tcPr>
            <w:tcW w:type="dxa" w:w="2070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页面</w:t>
            </w:r>
          </w:p>
        </w:tc>
        <w:tc>
          <w:tcPr>
            <w:tcW w:type="dxa" w:w="6661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用途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攻防大屏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正式评测汇总、防护关闭与开启的对照回放、检测—研判—阻断—溯源各环节的实时状态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态势总览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全部运行的统计，包括攻击成功率、拦截与误报、各攻击类型与规则命中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攻防场景库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浏览、复制、新建与导入攻防场景（任务、攻击载荷、注入渠道）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防御策略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规则清单、各规则命中次数与当前决策模式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模型设置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分别指定智能体与慢镜所用的大模型，可测试连接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攻防竞技场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选择场景，防护关闭与防护开启两路真实智能体同时运行，左右对比结果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护航模式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在防护开启下运行单个任务，逐步展示计划、裁决与执行是否一致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溯源分析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查看来源、调用、裁决、溯源图与研判报告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运行记录</w:t>
            </w:r>
          </w:p>
        </w:tc>
        <w:tc>
          <w:tcPr>
            <w:tcW w:type="dxa" w:w="6661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浏览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runs/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 下的全部运行证据</w:t>
            </w:r>
          </w:p>
        </w:tc>
      </w:tr>
    </w:tbl>
    <w:p>
      <w:pPr>
        <w:snapToGrid w:val="0"/>
        <w:spacing w:before="0" w:after="80" w:line="144" w:lineRule="auto"/>
        <w:jc w:val="both"/>
      </w:pP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5.2 网页审批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裁决分为 ALLOW（放行）、ASK（挂起，等待人工审批）与 BLOCK（阻断）三类。某一步被挂起时，攻防竞技场与护航模式在该步骤旁显示批准与拒绝按钮，其他页面以审批卡片提示。</w:t>
      </w:r>
      <w:r>
        <w:rPr>
          <w:rFonts w:ascii="Times New Roman" w:hAnsi="Times New Roman" w:eastAsia="宋体" w:cs="Times New Roman"/>
          <w:b/>
          <w:sz w:val="24"/>
        </w:rPr>
        <w:t>批准仅对本次调用及其参数有效，原会话执行该调用后继续；拒绝或超时则跳过该调用，智能体继续原任务；硬策略产生的 BLOCK 不能通过审批放行。</w:t>
      </w:r>
      <w:r>
        <w:rPr>
          <w:rFonts w:ascii="Times New Roman" w:hAnsi="Times New Roman" w:eastAsia="宋体" w:cs="Times New Roman"/>
          <w:b w:val="0"/>
          <w:sz w:val="24"/>
        </w:rPr>
        <w:t>审批有效期为 5 分钟，刷新页面可恢复待审批的任务。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5.3 命令行运行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除安全控制台外，也可在命令行中运行单个场景，例如：</w:t>
      </w:r>
    </w:p>
    <w:p>
      <w:pPr>
        <w:shd w:val="clear" w:color="auto" w:fill="F3F5F8"/>
        <w:snapToGrid w:val="0"/>
        <w:spacing w:before="80" w:after="80" w:lineRule="exact" w:line="260"/>
        <w:ind w:left="240"/>
        <w:jc w:val="left"/>
      </w:pPr>
      <w:r>
        <w:rPr>
          <w:rFonts w:ascii="Consolas" w:hAnsi="Consolas" w:eastAsia="宋体" w:cs="Consolas"/>
          <w:sz w:val="18"/>
        </w:rPr>
        <w:t>.venv/bin/python lab.py run --scenario c-indirect-readme --environment attack --protect on --engine d2v2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--protect off</w:t>
      </w:r>
      <w:r>
        <w:rPr>
          <w:rFonts w:ascii="Times New Roman" w:hAnsi="Times New Roman" w:eastAsia="宋体" w:cs="Times New Roman"/>
          <w:b w:val="0"/>
          <w:sz w:val="24"/>
        </w:rPr>
        <w:t xml:space="preserve"> 表示只记录、不拦截。命令与 Git 类场景需设置环境变量 </w:t>
      </w:r>
      <w:r>
        <w:rPr>
          <w:rFonts w:ascii="Times New Roman" w:hAnsi="Times New Roman" w:eastAsia="宋体" w:cs="Times New Roman"/>
          <w:b w:val="0"/>
          <w:sz w:val="24"/>
        </w:rPr>
        <w:t>D2_HOST_EXEC=1</w:t>
      </w:r>
      <w:r>
        <w:rPr>
          <w:rFonts w:ascii="Times New Roman" w:hAnsi="Times New Roman" w:eastAsia="宋体" w:cs="Times New Roman"/>
          <w:b w:val="0"/>
          <w:sz w:val="24"/>
        </w:rPr>
        <w:t xml:space="preserve">（控制台启动脚本已自动设置）。每轮运行在 </w:t>
      </w:r>
      <w:r>
        <w:rPr>
          <w:rFonts w:ascii="Times New Roman" w:hAnsi="Times New Roman" w:eastAsia="宋体" w:cs="Times New Roman"/>
          <w:b w:val="0"/>
          <w:sz w:val="24"/>
        </w:rPr>
        <w:t>runs/&lt;run_id&gt;/</w:t>
      </w:r>
      <w:r>
        <w:rPr>
          <w:rFonts w:ascii="Times New Roman" w:hAnsi="Times New Roman" w:eastAsia="宋体" w:cs="Times New Roman"/>
          <w:b w:val="0"/>
          <w:sz w:val="24"/>
        </w:rPr>
        <w:t xml:space="preserve"> 下生成完整证据，包括运行清单、Pi 原生事件、证据库、安全链、裁决、网关摘要、接收端回执与判分结果。命令行运行默认不等待审批，被挂起的调用不会执行，本轮以“待审批”状态结束；需要审批后继续执行的运行应从安全控制台发起。配对对照批量评测与证据核验的完整流程见《测试样例及测试流程说明文档》第三章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对支持显式思考控制的 Responses 模型，可在“模型设置”中勾选相应选项（provider.json 中对应 reasoning_capable: true）。Pi 当前以关闭思考模式启动，此选项使其向上游明确发送 reasoning.effort=none，避免服务端默认开启长时间思考。仅在接口支持时启用。运行清单记录该配置；</w:t>
      </w:r>
      <w:r>
        <w:rPr>
          <w:rFonts w:ascii="Times New Roman" w:hAnsi="Times New Roman" w:eastAsia="宋体" w:cs="Times New Roman"/>
          <w:b/>
          <w:sz w:val="24"/>
        </w:rPr>
        <w:t>思考模式不同的实验结果应分开统计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5.4 安全边界与运维说明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关于安全边界，需要说明以下几点：文件读写限定在本轮工作区；HTTP 只开放本地测试服务；命令与 Git 在宿主的本轮工作区中执行，使用最小环境变量并在结束时清理进程树，命令效果由语法树解析判定。</w:t>
      </w:r>
      <w:r>
        <w:rPr>
          <w:rFonts w:ascii="Times New Roman" w:hAnsi="Times New Roman" w:eastAsia="宋体" w:cs="Times New Roman"/>
          <w:b/>
          <w:sz w:val="24"/>
        </w:rPr>
        <w:t>上述限制属于应用层限制而非操作系统级沙箱，需要更强隔离时，可将整个防护主机置于虚拟机或容器中。</w:t>
      </w:r>
    </w:p>
    <w:p>
      <w:pPr>
        <w:snapToGrid w:val="0"/>
        <w:spacing w:before="0" w:after="0" w:line="360" w:lineRule="auto"/>
        <w:ind w:firstLine="48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每轮运行记录源码、场景与 Pi 程序的 SHA-256，便于复现与审计。运行证据保存在 runs/ 下，可按需归档或删除。执行 build-submission.bat（Windows）或 sh build-submission.sh（Linux）可重新生成程序包，打包内容为源码、快镜权重、demo-runs.json 所列的演示证据，以及 supplemental-runs.json 所列的本轮配对补测证据，不包含 .local/、虚拟环境与缓存。</w:t>
      </w:r>
    </w:p>
    <w:p>
      <w:pPr>
        <w:keepNext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5.5 常见问题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部署与运行中的常见问题及处理方法如表 5-2 所示。</w:t>
      </w:r>
    </w:p>
    <w:p>
      <w:pPr>
        <w:keepNext/>
        <w:snapToGrid w:val="0"/>
        <w:spacing w:before="60" w:after="60" w:line="360" w:lineRule="auto"/>
        <w:jc w:val="center"/>
      </w:pPr>
      <w:r>
        <w:rPr>
          <w:rFonts w:ascii="Times New Roman" w:hAnsi="Times New Roman" w:eastAsia="宋体" w:cs="Times New Roman"/>
          <w:b/>
          <w:sz w:val="24"/>
        </w:rPr>
        <w:t>表 5-2  常见问题与处理</w:t>
      </w:r>
    </w:p>
    <w:tbl>
      <w:tblPr>
        <w:tblW w:type="auto" w:w="0"/>
        <w:jc w:val="center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2577"/>
        <w:gridCol w:w="3076"/>
        <w:gridCol w:w="3076"/>
      </w:tblGrid>
      <w:tr>
        <w:trPr>
          <w:tblHeader w:val="true"/>
          <w:cantSplit/>
        </w:trPr>
        <w:tc>
          <w:tcPr>
            <w:tcW w:type="dxa" w:w="2578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现象</w:t>
            </w:r>
          </w:p>
        </w:tc>
        <w:tc>
          <w:tcPr>
            <w:tcW w:type="dxa" w:w="3077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原因</w:t>
            </w:r>
          </w:p>
        </w:tc>
        <w:tc>
          <w:tcPr>
            <w:tcW w:type="dxa" w:w="3077"/>
            <w:tcBorders>
              <w:top w:val="single" w:sz="12" w:color="1B2A49" w:space="0"/>
              <w:left w:val="nil"/>
              <w:bottom w:val="single" w:sz="6" w:color="1B2A49" w:space="0"/>
              <w:right w:val="nil"/>
            </w:tcBorders>
            <w:shd w:val="clear" w:color="auto" w:fill="E8EEF6"/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sz w:val="24"/>
              </w:rPr>
              <w:t>处理方法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控制台只能浏览历史运行，不能发起任务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未执行完整安装，或未生成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.local/s1.json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运行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setup-windows.bat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 或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setup-linux.sh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快镜启用失败并提示校验错误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权重文件不完整或被修改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重新解压程序包中的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weights/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 目录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快镜提示 CUDA 不可用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配置为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cuda:0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，但本机无可用 GPU 或驱动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以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--device cpu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 重新运行配置工具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测试连接失败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接口地址、密钥、模型名称或接口类型有误，或网络不可达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4" w:color="C9D1DD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在“模型设置”页核对后重新测试</w:t>
            </w:r>
          </w:p>
        </w:tc>
      </w:tr>
      <w:tr>
        <w:trPr>
          <w:cantSplit/>
        </w:trPr>
        <w:tc>
          <w:tcPr>
            <w:tcW w:type="dxa" w:w="2578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端口 8768 被占用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其他程序占用该端口</w:t>
            </w:r>
          </w:p>
        </w:tc>
        <w:tc>
          <w:tcPr>
            <w:tcW w:type="dxa" w:w="3077"/>
            <w:tcBorders>
              <w:top w:val="single" w:sz="4" w:color="C9D1DD" w:space="0"/>
              <w:left w:val="nil"/>
              <w:bottom w:val="single" w:sz="12" w:color="1B2A49" w:space="0"/>
              <w:right w:val="nil"/>
            </w:tcBorders>
            <w:vAlign w:val="center"/>
          </w:tcPr>
          <w:p>
            <w:pPr>
              <w:snapToGrid w:val="0"/>
              <w:spacing w:before="0" w:after="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Linux 下设置环境变量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PORT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 xml:space="preserve">，Windows 下使用 </w:t>
            </w:r>
            <w:r>
              <w:rPr>
                <w:rFonts w:ascii="Times New Roman" w:hAnsi="Times New Roman" w:eastAsia="宋体" w:cs="Times New Roman"/>
                <w:b w:val="0"/>
                <w:sz w:val="24"/>
              </w:rPr>
              <w:t>start-console.bat --port &lt;端口&gt;</w:t>
            </w:r>
          </w:p>
        </w:tc>
      </w:tr>
    </w:tbl>
    <w:p>
      <w:pPr>
        <w:keepNext/>
        <w:pageBreakBefore/>
        <w:snapToGrid w:val="0"/>
        <w:spacing w:before="200" w:after="120" w:line="360" w:lineRule="auto"/>
        <w:jc w:val="left"/>
        <w:outlineLvl w:val="1"/>
      </w:pPr>
      <w:r>
        <w:rPr>
          <w:rFonts w:ascii="Arial" w:hAnsi="Arial" w:eastAsia="黑体" w:cs="Arial"/>
          <w:b w:val="0"/>
          <w:sz w:val="28"/>
        </w:rPr>
        <w:t>5.6 公网测试入口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在线测试地址为 https://agent.li33.art/safe/preview/。浏览器通过 HTTPS 反向代理连接算力机上的控制台，</w:t>
      </w:r>
      <w:r>
        <w:rPr>
          <w:rFonts w:ascii="Times New Roman" w:hAnsi="Times New Roman" w:eastAsia="宋体" w:cs="Times New Roman"/>
          <w:b/>
          <w:sz w:val="24"/>
        </w:rPr>
        <w:t>Pi、快镜和工具调用均在算力机执行</w:t>
      </w:r>
      <w:r>
        <w:rPr>
          <w:rFonts w:ascii="Times New Roman" w:hAnsi="Times New Roman" w:eastAsia="宋体" w:cs="Times New Roman"/>
          <w:b w:val="0"/>
          <w:sz w:val="24"/>
        </w:rPr>
        <w:t>；访问者无需在本机安装模型或运行环境。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自由输入入口为 https://agent.li33.art/safe/preview/#/chat；本机地址为 http://127.0.0.1:8768/#/chat。在“自由对话”中输入任务，可附带文本资料；收到回复后继续输入追问，</w:t>
      </w:r>
      <w:r>
        <w:rPr>
          <w:rFonts w:ascii="Times New Roman" w:hAnsi="Times New Roman" w:eastAsia="宋体" w:cs="Times New Roman"/>
          <w:b/>
          <w:sz w:val="24"/>
        </w:rPr>
        <w:t>同一 Pi 会话保留上下文</w:t>
      </w:r>
      <w:r>
        <w:rPr>
          <w:rFonts w:ascii="Times New Roman" w:hAnsi="Times New Roman" w:eastAsia="宋体" w:cs="Times New Roman"/>
          <w:b w:val="0"/>
          <w:sz w:val="24"/>
        </w:rPr>
        <w:t>。默认开启防护，对照测试可在新会话开始前关闭。停止生成会取消当前操作，结束会话会关闭 Pi 并归档证据。网页刷新后可恢复当前会话，闲置 30 分钟后自动关闭；服务重启不自动恢复已关闭会话。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进入“攻防竞技场”，选择场景与环境后点击“开始双路对决”，即可对同一任务同时运行防护关闭和开启两路。新增直接输入样例以 di- 开头，其中 di-context、di-role、di-privilege 分别对应上下文劫持、角色伪装和越权声明；di-benign 为相近正常输入。</w:t>
      </w:r>
      <w:r>
        <w:rPr>
          <w:rFonts w:ascii="Times New Roman" w:hAnsi="Times New Roman" w:eastAsia="宋体" w:cs="Times New Roman"/>
          <w:b/>
          <w:sz w:val="24"/>
        </w:rPr>
        <w:t>每次发起均调用真实模型</w:t>
      </w:r>
      <w:r>
        <w:rPr>
          <w:rFonts w:ascii="Times New Roman" w:hAnsi="Times New Roman" w:eastAsia="宋体" w:cs="Times New Roman"/>
          <w:b w:val="0"/>
          <w:sz w:val="24"/>
        </w:rPr>
        <w:t>，页面显示本轮运行编号、工具调用、裁决与接收端结果。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遇到 ASK 时，按任务授权选择“批准本次并继续”或“拒绝本次并继续”，</w:t>
      </w:r>
      <w:r>
        <w:rPr>
          <w:rFonts w:ascii="Times New Roman" w:hAnsi="Times New Roman" w:eastAsia="宋体" w:cs="Times New Roman"/>
          <w:b/>
          <w:sz w:val="24"/>
        </w:rPr>
        <w:t>原会话随后继续</w:t>
      </w:r>
      <w:r>
        <w:rPr>
          <w:rFonts w:ascii="Times New Roman" w:hAnsi="Times New Roman" w:eastAsia="宋体" w:cs="Times New Roman"/>
          <w:b w:val="0"/>
          <w:sz w:val="24"/>
        </w:rPr>
        <w:t>；审批超时也会结束该次等待。测试直接注入时应拒绝与原任务无关的敏感操作，再观察会话后续行为。运行结束后，从“溯源分析”与“运行记录”查看证据。共享控制台同时接收一个测试任务，忙碌时需等待当前任务结束后再发起；对照任务内部的两路可并行执行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公网实例使用部署端配置的模型连接，页面可查看已掩码的配置，修改连接配置由部署端维护。自由对话与场景测试使用相同工具边界，均受第 5.4 节所述应用层约束。浏览器断开不代表任务已结束，再次打开页面可恢复当前任务与待审批状态。</w:t>
      </w:r>
    </w:p>
    <w:p>
      <w:pPr>
        <w:snapToGrid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sz w:val="24"/>
        </w:rPr>
        <w:t>控制台首次启动时加载并预热快镜，页面显示就绪后，</w:t>
      </w:r>
      <w:r>
        <w:rPr>
          <w:rFonts w:ascii="Times New Roman" w:hAnsi="Times New Roman" w:eastAsia="宋体" w:cs="Times New Roman"/>
          <w:b/>
          <w:sz w:val="24"/>
        </w:rPr>
        <w:t>新任务复用模型</w:t>
      </w:r>
      <w:r>
        <w:rPr>
          <w:rFonts w:ascii="Times New Roman" w:hAnsi="Times New Roman" w:eastAsia="宋体" w:cs="Times New Roman"/>
          <w:b w:val="0"/>
          <w:sz w:val="24"/>
        </w:rPr>
        <w:t>。会话的安全状态、工作区和审批仍独立创建；修改快镜配置或推理源码后须重启控制台。Windows 初次运行在 .local 中生成约 1.29 GB 的只读 FP32 派生文件，加载时与原权重的逐块转换结果核对，</w:t>
      </w:r>
      <w:r>
        <w:rPr>
          <w:rFonts w:ascii="Times New Roman" w:hAnsi="Times New Roman" w:eastAsia="宋体" w:cs="Times New Roman"/>
          <w:b/>
          <w:sz w:val="24"/>
        </w:rPr>
        <w:t>不改变权重数值和阈值</w:t>
      </w:r>
      <w:r>
        <w:rPr>
          <w:rFonts w:ascii="Times New Roman" w:hAnsi="Times New Roman" w:eastAsia="宋体" w:cs="Times New Roman"/>
          <w:b w:val="0"/>
          <w:sz w:val="24"/>
        </w:rPr>
        <w:t>。该缓存不进入提交包。结束会话后，慢镜异步研判及证据归档在后台继续，页面显示归档状态，同时允许开始新会话。</w:t>
      </w:r>
    </w:p>
    <w:p>
      <w:pPr>
        <w:snapToGrid w:val="0"/>
        <w:spacing w:before="0" w:after="80" w:line="144" w:lineRule="auto"/>
        <w:jc w:val="both"/>
      </w:pPr>
    </w:p>
    <w:sectPr>
      <w:footerReference r:id="rId3" w:type="default"/>
      <w:pgSz w:w="11906" w:h="16838"/>
      <w:pgMar w:top="1440" w:right="1466" w:bottom="1440" w:left="1620" w:header="0" w:footer="85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ree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WenQuanYi Zen Hei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FKai-SB;Microsoft JhengHei Lig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688173">
    <w:pPr>
      <w:pStyle w:val="5"/>
      <w:jc w:val="center"/>
    </w:pPr>
    <w:r>
      <w:rPr>
        <w:rFonts w:ascii="Times New Roman" w:hAnsi="Times New Roman" w:eastAsia="宋体" w:cs="Times New Roman"/>
        <w:sz w:val="21"/>
      </w:rPr>
      <w:t xml:space="preserve">第 </w:t>
    </w:r>
    <w:r>
      <w:rPr>
        <w:rFonts w:ascii="Times New Roman" w:hAnsi="Times New Roman" w:eastAsia="宋体" w:cs="Times New Roman"/>
        <w:sz w:val="21"/>
      </w:rPr>
      <w:fldChar w:fldCharType="begin"/>
    </w:r>
    <w:r>
      <w:rPr>
        <w:rFonts w:ascii="Times New Roman" w:hAnsi="Times New Roman" w:eastAsia="宋体" w:cs="Times New Roman"/>
        <w:sz w:val="21"/>
      </w:rPr>
      <w:instrText xml:space="preserve"> PAGE </w:instrText>
    </w:r>
    <w:r>
      <w:rPr>
        <w:rFonts w:ascii="Times New Roman" w:hAnsi="Times New Roman" w:eastAsia="宋体" w:cs="Times New Roman"/>
        <w:sz w:val="21"/>
      </w:rPr>
      <w:fldChar w:fldCharType="separate"/>
    </w:r>
    <w:r>
      <w:rPr>
        <w:rFonts w:ascii="Times New Roman" w:hAnsi="Times New Roman" w:eastAsia="宋体" w:cs="Times New Roman"/>
        <w:sz w:val="21"/>
      </w:rPr>
      <w:t>1</w:t>
    </w:r>
    <w:r>
      <w:rPr>
        <w:rFonts w:ascii="Times New Roman" w:hAnsi="Times New Roman" w:eastAsia="宋体" w:cs="Times New Roman"/>
        <w:sz w:val="21"/>
      </w:rPr>
      <w:fldChar w:fldCharType="end"/>
    </w:r>
    <w:r>
      <w:rPr>
        <w:rFonts w:ascii="Times New Roman" w:hAnsi="Times New Roman" w:eastAsia="宋体" w:cs="Times New Roman"/>
        <w:sz w:val="21"/>
      </w:rPr>
      <w:t xml:space="preserve"> 页  共 </w:t>
    </w:r>
    <w:r>
      <w:rPr>
        <w:rFonts w:ascii="Times New Roman" w:hAnsi="Times New Roman" w:eastAsia="宋体" w:cs="Times New Roman"/>
        <w:sz w:val="21"/>
      </w:rPr>
      <w:fldChar w:fldCharType="begin"/>
    </w:r>
    <w:r>
      <w:rPr>
        <w:rFonts w:ascii="Times New Roman" w:hAnsi="Times New Roman" w:eastAsia="宋体" w:cs="Times New Roman"/>
        <w:sz w:val="21"/>
      </w:rPr>
      <w:instrText xml:space="preserve"> SECTIONPAGES </w:instrText>
    </w:r>
    <w:r>
      <w:rPr>
        <w:rFonts w:ascii="Times New Roman" w:hAnsi="Times New Roman" w:eastAsia="宋体" w:cs="Times New Roman"/>
        <w:sz w:val="21"/>
      </w:rPr>
      <w:fldChar w:fldCharType="separate"/>
    </w:r>
    <w:r>
      <w:rPr>
        <w:rFonts w:ascii="Times New Roman" w:hAnsi="Times New Roman" w:eastAsia="宋体" w:cs="Times New Roman"/>
        <w:sz w:val="21"/>
      </w:rPr>
      <w:t>12</w:t>
    </w:r>
    <w:r>
      <w:rPr>
        <w:rFonts w:ascii="Times New Roman" w:hAnsi="Times New Roman" w:eastAsia="宋体" w:cs="Times New Roman"/>
        <w:sz w:val="21"/>
      </w:rPr>
      <w:fldChar w:fldCharType="end"/>
    </w:r>
    <w:r>
      <w:rPr>
        <w:rFonts w:ascii="Times New Roman" w:hAnsi="Times New Roman" w:eastAsia="宋体" w:cs="Times New Roman"/>
        <w:sz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72D59">
    <w:pPr>
      <w:pStyle w:val="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updateFields w:val="true"/>
  <w:compat>
    <w:noLeading/>
    <w:doNotExpandShiftReturn/>
    <w:doNotWrapTextWithPunct/>
    <w:doNotUseEastAsianBreakRules/>
    <w:useFELayout/>
    <w:useAltKinsokuLineBreakRules/>
    <w:compatSetting w:name="compatibilityMode" w:uri="http://schemas.microsoft.com/office/word" w:val="11"/>
  </w:compat>
  <w:docVars>
    <w:docVar w:name="commondata" w:val="eyJoZGlkIjoiNGNlYTNjYzhkOWI3ZTcwMWJiOTE2ZjU4NjBhNGZhZjQifQ=="/>
  </w:docVars>
  <w:rsids>
    <w:rsidRoot w:val="00000000"/>
    <w:rsid w:val="055E48FF"/>
    <w:rsid w:val="0A6B2D01"/>
    <w:rsid w:val="0EE134F1"/>
    <w:rsid w:val="12877FFE"/>
    <w:rsid w:val="15457EA5"/>
    <w:rsid w:val="205B5282"/>
    <w:rsid w:val="28C25188"/>
    <w:rsid w:val="296A2A8F"/>
    <w:rsid w:val="2A48273F"/>
    <w:rsid w:val="30017173"/>
    <w:rsid w:val="38C74A67"/>
    <w:rsid w:val="3DD87C9F"/>
    <w:rsid w:val="3DE47B36"/>
    <w:rsid w:val="3F3F3186"/>
    <w:rsid w:val="40CA54E6"/>
    <w:rsid w:val="4CDF6854"/>
    <w:rsid w:val="527E4CD4"/>
    <w:rsid w:val="60556EE3"/>
    <w:rsid w:val="677F39CB"/>
    <w:rsid w:val="6BF06804"/>
    <w:rsid w:val="6FB53B89"/>
    <w:rsid w:val="79EC5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bCs/>
      <w:kern w:val="2"/>
      <w:sz w:val="44"/>
      <w:szCs w:val="44"/>
      <w:lang w:val="zh-CN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toc 1"/>
    <w:basedOn w:val="1"/>
    <w:next w:val="1"/>
    <w:uiPriority w:val="0"/>
    <w:pPr>
      <w:tabs>
        <w:tab w:val="right" w:leader="dot" w:pos="8674"/>
      </w:tabs>
      <w:spacing w:before="0" w:after="0" w:line="360" w:lineRule="auto"/>
      <w:ind w:left="0"/>
      <w:jc w:val="left"/>
    </w:pPr>
    <w:rPr>
      <w:rFonts w:eastAsia="黑体"/>
      <w:sz w:val="28"/>
    </w:rPr>
  </w:style>
  <w:style w:type="paragraph" w:styleId="7">
    <w:name w:val="List"/>
    <w:basedOn w:val="4"/>
    <w:uiPriority w:val="0"/>
    <w:rPr>
      <w:rFonts w:cs="FreeSans"/>
    </w:rPr>
  </w:style>
  <w:style w:type="paragraph" w:styleId="8">
    <w:name w:val="toc 2"/>
    <w:basedOn w:val="1"/>
    <w:next w:val="1"/>
    <w:uiPriority w:val="0"/>
    <w:pPr>
      <w:ind w:left="420" w:leftChars="200"/>
    </w:pPr>
    <w:rPr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3"/>
    <w:uiPriority w:val="0"/>
  </w:style>
  <w:style w:type="character" w:customStyle="1" w:styleId="13">
    <w:name w:val="默认段落字体1"/>
    <w:qFormat/>
    <w:uiPriority w:val="0"/>
  </w:style>
  <w:style w:type="character" w:styleId="14">
    <w:name w:val="Hyperlink"/>
    <w:uiPriority w:val="0"/>
    <w:rPr>
      <w:color w:val="000066"/>
      <w:u w:val="none"/>
    </w:rPr>
  </w:style>
  <w:style w:type="character" w:customStyle="1" w:styleId="15">
    <w:name w:val="Index Link"/>
    <w:qFormat/>
    <w:uiPriority w:val="0"/>
  </w:style>
  <w:style w:type="paragraph" w:customStyle="1" w:styleId="16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customStyle="1" w:styleId="17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18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19">
    <w:name w:val="TOC 2"/>
    <w:basedOn w:val="1"/>
    <w:uiPriority w:val="0"/>
    <w:pPr>
      <w:tabs>
        <w:tab w:val="right" w:leader="dot" w:pos="8674"/>
      </w:tabs>
      <w:spacing w:before="0" w:after="0" w:line="360" w:lineRule="auto"/>
      <w:ind w:left="480"/>
      <w:jc w:val="left"/>
    </w:pPr>
    <w:rPr>
      <w:rFonts w:ascii="Times New Roman" w:hAnsi="Times New Roman" w:eastAsia="宋体"/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4" Type="http://schemas.openxmlformats.org/officeDocument/2006/relationships/image" Target="media/image17.png"/><Relationship Id="rId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65</Pages>
  <Words>29505</Words>
  <Characters>39944</Characters>
  <TotalTime>14</TotalTime>
  <ScaleCrop>false</ScaleCrop>
  <LinksUpToDate>false</LinksUpToDate>
  <CharactersWithSpaces>42906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2026-10-20T06:42:00Z</dcterms:created>
  <dc:creator>zhouxingfu</dc:creator>
  <cp:lastModifiedBy>虚实</cp:lastModifiedBy>
  <dcterms:modified xsi:type="dcterms:W3CDTF">2026-10-20T07:52:33Z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51218CE64BF94DD795109598C7781DA6_12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eyJoZGlkIjoiMGU1YzQyYTI1OGIwNThiZWNhMzUxYzNkM2U5M2U1YTgiLCJ1c2VySWQiOiIzMjA5NTM5MTYifQ==</vt:lpwstr>
  </property>
</Properties>
</file>