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黑体" w:hAnsi="黑体" w:eastAsia="黑体"/>
          <w:b/>
          <w:sz w:val="44"/>
        </w:rPr>
        <w:t>FactorGPT —— 基于大语言模型的检索增强型量化因子研究智能体</w:t>
      </w:r>
    </w:p>
    <w:p>
      <w:pPr>
        <w:spacing w:after="200"/>
        <w:jc w:val="center"/>
      </w:pPr>
      <w:r>
        <w:rPr>
          <w:rFonts w:ascii="楷体" w:hAnsi="楷体" w:eastAsia="楷体"/>
          <w:b w:val="0"/>
          <w:color w:val="444444"/>
          <w:sz w:val="26"/>
        </w:rPr>
        <w:t>浙江省大学生金融创新大赛（A 类·金融创新产品设计）作品申报书 / 研究报告</w:t>
      </w:r>
    </w:p>
    <w:p>
      <w:pPr>
        <w:spacing w:before="280" w:after="160" w:line="360" w:lineRule="auto"/>
      </w:pPr>
      <w:r>
        <w:rPr>
          <w:rFonts w:ascii="黑体" w:hAnsi="黑体" w:eastAsia="黑体"/>
          <w:b/>
          <w:sz w:val="32"/>
        </w:rPr>
        <w:t>一、作品摘要</w:t>
      </w:r>
    </w:p>
    <w:p>
      <w:pPr>
        <w:spacing w:line="360" w:lineRule="auto" w:after="80"/>
        <w:ind w:firstLine="480"/>
      </w:pPr>
      <w:r>
        <w:rPr>
          <w:rFonts w:ascii="宋体" w:hAnsi="宋体" w:eastAsia="宋体"/>
          <w:b w:val="0"/>
          <w:sz w:val="24"/>
        </w:rPr>
        <w:t>FactorGPT 是一款面向量化投研的检索增强型大语言模型（LLM）智能体系统，旨在解决传统因子研究中“研究周期长、前视偏差高发、可复现性差”三大痛点，以及通用“AI 写代码”工具“易编造不可运行代码、缺回测纪律、样本内漂亮样本外崩溃”的缺陷。系统以 LangGraph 编排单因子挖掘智能体（FactorAgent），将“检索知识 → 生成代码 → 沙箱校验 → 分层回测 → 反思迭代 → 自主学习 → 可解释交付”串成闭环；并以“因子精炼厂（Refinery）”六阶段流水线，将多个基础因子冶炼为彼此正交、信息比率更优的复合因子。</w:t>
      </w:r>
    </w:p>
    <w:p>
      <w:pPr>
        <w:spacing w:line="360" w:lineRule="auto" w:after="80"/>
        <w:ind w:firstLine="480"/>
      </w:pPr>
      <w:r>
        <w:rPr>
          <w:rFonts w:ascii="宋体" w:hAnsi="宋体" w:eastAsia="宋体"/>
          <w:b w:val="0"/>
          <w:sz w:val="24"/>
        </w:rPr>
        <w:t>作品的核心创新在于把 LLM 的生成能力与量化研究的工程纪律深度融合：工程级安全沙箱（AST 前视扫描 + 受限子进程执行）从根本杜绝未来函数与危险代码；样本外验证、Deflated Sharpe Ratio、因子动物园与 Barra 风格代理风险归因构成四道过拟合防线；检索增强（RAG）+ 反思式自纠错让因子“不凭空生成、出错精准修复”；多 LLM 路由与离线鲁棒性（断网也能跑）保障比赛现场与机构部署的稳定性。经单因子闭环与精炼厂流水线实测，系统可分钟级产出带方法学解读与回测图表的因子报告，并一键导出因子表达式、调仓清单与可解释 HTML/PDF 交付物。</w:t>
      </w:r>
    </w:p>
    <w:p>
      <w:pPr>
        <w:spacing w:before="280" w:after="160" w:line="360" w:lineRule="auto"/>
      </w:pPr>
      <w:r>
        <w:rPr>
          <w:rFonts w:ascii="黑体" w:hAnsi="黑体" w:eastAsia="黑体"/>
          <w:b/>
          <w:sz w:val="32"/>
        </w:rPr>
        <w:t>二、作品设计的目的和基本思路</w:t>
      </w:r>
    </w:p>
    <w:p>
      <w:pPr>
        <w:spacing w:before="160" w:after="80" w:line="360" w:lineRule="auto"/>
      </w:pPr>
      <w:r>
        <w:rPr>
          <w:rFonts w:ascii="黑体" w:hAnsi="黑体" w:eastAsia="黑体"/>
          <w:b/>
          <w:sz w:val="28"/>
        </w:rPr>
        <w:t>（一）设计目的</w:t>
      </w:r>
    </w:p>
    <w:p>
      <w:pPr>
        <w:spacing w:line="360" w:lineRule="auto" w:after="80"/>
        <w:ind w:firstLine="480"/>
      </w:pPr>
      <w:r>
        <w:rPr>
          <w:rFonts w:ascii="宋体" w:hAnsi="宋体" w:eastAsia="宋体"/>
          <w:b w:val="0"/>
          <w:sz w:val="24"/>
        </w:rPr>
        <w:t>量化投资的 Alpha 高度依赖因子挖掘与组合，但因子研究长期面临效率与可信度双重瓶颈：其一，一个因子从想法到可回测代码往往需研究员数小时乃至数天手工编码调试；其二，新手极易引入前视偏差（如未做 shift(1) 的收益、直接使用次日收益标签），导致回测虚高、实盘失效；其三，因子思路散落难沉淀，可复现性与可审计性差。LLM 虽擅长代码生成与知识检索，但直接“写因子”会编造代码并无视过拟合。本作品目的即系统性打通“自然语言想法 → 可审计、可回测、可交付因子”的全链路。</w:t>
      </w:r>
    </w:p>
    <w:p>
      <w:pPr>
        <w:spacing w:before="160" w:after="80" w:line="360" w:lineRule="auto"/>
      </w:pPr>
      <w:r>
        <w:rPr>
          <w:rFonts w:ascii="黑体" w:hAnsi="黑体" w:eastAsia="黑体"/>
          <w:b/>
          <w:sz w:val="28"/>
        </w:rPr>
        <w:t>（二）基本思路</w:t>
      </w:r>
    </w:p>
    <w:p>
      <w:pPr>
        <w:spacing w:line="360" w:lineRule="auto" w:after="80"/>
        <w:ind w:firstLine="480"/>
      </w:pPr>
      <w:r>
        <w:rPr>
          <w:rFonts w:ascii="宋体" w:hAnsi="宋体" w:eastAsia="宋体"/>
          <w:b w:val="0"/>
          <w:sz w:val="24"/>
        </w:rPr>
        <w:t>核心思路是“让 LLM 负责生成，让工程纪律负责把关”。系统将 LLM 的生成能力与量化研究的工程纪律（安全沙箱、标准后处理、分层回测、样本外验证、风险归因）紧密结合，并以检索增强（RAG）为基座，让因子生成先“查知识库与已验证因子”，失败时由 LLM 读取错误精准修复（Reflect），形成“生成—校验—反思—学习”的闭环智能体，而非一次性代码生成器。</w:t>
      </w:r>
    </w:p>
    <w:p>
      <w:pPr>
        <w:spacing w:before="280" w:after="160" w:line="360" w:lineRule="auto"/>
      </w:pPr>
      <w:r>
        <w:rPr>
          <w:rFonts w:ascii="黑体" w:hAnsi="黑体" w:eastAsia="黑体"/>
          <w:b/>
          <w:sz w:val="32"/>
        </w:rPr>
        <w:t>三、作品的科学性、先进性及独特之处</w:t>
      </w:r>
    </w:p>
    <w:p>
      <w:pPr>
        <w:spacing w:before="160" w:after="80" w:line="360" w:lineRule="auto"/>
      </w:pPr>
      <w:r>
        <w:rPr>
          <w:rFonts w:ascii="黑体" w:hAnsi="黑体" w:eastAsia="黑体"/>
          <w:b/>
          <w:sz w:val="28"/>
        </w:rPr>
        <w:t>（一）科学性</w:t>
      </w:r>
    </w:p>
    <w:p>
      <w:pPr>
        <w:pStyle w:val="ListBullet"/>
        <w:spacing w:line="360" w:lineRule="auto"/>
        <w:ind w:firstLine="0"/>
      </w:pPr>
      <w:r>
        <w:rPr>
          <w:rFonts w:ascii="宋体" w:hAnsi="宋体" w:eastAsia="宋体"/>
          <w:b w:val="0"/>
          <w:sz w:val="24"/>
        </w:rPr>
        <w:t>因子评价严格遵循量化金融经典方法论：IC、RankIC、ICIR、分层收益、多空组合与最大回撤，源于 Fama-French 三/五因子、Carhart 四因子等学术体系。</w:t>
      </w:r>
    </w:p>
    <w:p>
      <w:pPr>
        <w:pStyle w:val="ListBullet"/>
        <w:spacing w:line="360" w:lineRule="auto"/>
        <w:ind w:firstLine="0"/>
      </w:pPr>
      <w:r>
        <w:rPr>
          <w:rFonts w:ascii="宋体" w:hAnsi="宋体" w:eastAsia="宋体"/>
          <w:b w:val="0"/>
          <w:sz w:val="24"/>
        </w:rPr>
        <w:t>风险暴露归因采用 Barra 风格代理模型，逐日回归因子值对市值、行业、动量等风格哑变量的暴露，识别因子是否隐性押注已知风格。</w:t>
      </w:r>
    </w:p>
    <w:p>
      <w:pPr>
        <w:pStyle w:val="ListBullet"/>
        <w:spacing w:line="360" w:lineRule="auto"/>
        <w:ind w:firstLine="0"/>
      </w:pPr>
      <w:r>
        <w:rPr>
          <w:rFonts w:ascii="宋体" w:hAnsi="宋体" w:eastAsia="宋体"/>
          <w:b w:val="0"/>
          <w:sz w:val="24"/>
        </w:rPr>
        <w:t>复合因子正交化与 Leave-One-Out 稳健性评估，保证入选因子边际贡献为正且不冗余。</w:t>
      </w:r>
    </w:p>
    <w:p>
      <w:pPr>
        <w:spacing w:before="160" w:after="80" w:line="360" w:lineRule="auto"/>
      </w:pPr>
      <w:r>
        <w:rPr>
          <w:rFonts w:ascii="黑体" w:hAnsi="黑体" w:eastAsia="黑体"/>
          <w:b/>
          <w:sz w:val="28"/>
        </w:rPr>
        <w:t>（二）先进性</w:t>
      </w:r>
    </w:p>
    <w:p>
      <w:pPr>
        <w:pStyle w:val="ListBullet"/>
        <w:spacing w:line="360" w:lineRule="auto"/>
        <w:ind w:firstLine="0"/>
      </w:pPr>
      <w:r>
        <w:rPr>
          <w:rFonts w:ascii="宋体" w:hAnsi="宋体" w:eastAsia="宋体"/>
          <w:b w:val="0"/>
          <w:sz w:val="24"/>
        </w:rPr>
        <w:t>工程级安全沙箱：AST 静态扫描前视变量 + 受限 import 白名单 + 受限内置函数 + 独立子进程超时执行，从根本上杜绝危险代码与死循环卡死。</w:t>
      </w:r>
    </w:p>
    <w:p>
      <w:pPr>
        <w:pStyle w:val="ListBullet"/>
        <w:spacing w:line="360" w:lineRule="auto"/>
        <w:ind w:firstLine="0"/>
      </w:pPr>
      <w:r>
        <w:rPr>
          <w:rFonts w:ascii="宋体" w:hAnsi="宋体" w:eastAsia="宋体"/>
          <w:b w:val="0"/>
          <w:sz w:val="24"/>
        </w:rPr>
        <w:t>检索增强 + 反思式自纠错（RAG + Reflect）：因子不凭空生成，先检索知识库（含 606 条已学习因子）与经典文献；失败/不达标时 LLM 精准定位错误修复而非泛泛重写。</w:t>
      </w:r>
    </w:p>
    <w:p>
      <w:pPr>
        <w:pStyle w:val="ListBullet"/>
        <w:spacing w:line="360" w:lineRule="auto"/>
        <w:ind w:firstLine="0"/>
      </w:pPr>
      <w:r>
        <w:rPr>
          <w:rFonts w:ascii="宋体" w:hAnsi="宋体" w:eastAsia="宋体"/>
          <w:b w:val="0"/>
          <w:sz w:val="24"/>
        </w:rPr>
        <w:t>多 LLM 路由（llm/router.py）：小模型海选（draft）+ 强模型精炼（critic），调用处零改动即可启用，兼顾成本与质量。</w:t>
      </w:r>
    </w:p>
    <w:p>
      <w:pPr>
        <w:spacing w:before="160" w:after="80" w:line="360" w:lineRule="auto"/>
      </w:pPr>
      <w:r>
        <w:rPr>
          <w:rFonts w:ascii="黑体" w:hAnsi="黑体" w:eastAsia="黑体"/>
          <w:b/>
          <w:sz w:val="28"/>
        </w:rPr>
        <w:t>（三）独特之处</w:t>
      </w:r>
    </w:p>
    <w:p>
      <w:pPr>
        <w:spacing w:line="360" w:lineRule="auto" w:after="80"/>
        <w:ind w:firstLine="480"/>
      </w:pPr>
      <w:r>
        <w:rPr>
          <w:rFonts w:ascii="宋体" w:hAnsi="宋体" w:eastAsia="宋体"/>
          <w:b w:val="0"/>
          <w:sz w:val="24"/>
        </w:rPr>
        <w:t>区别于通用“AI 写代码”工具，本作品把“过拟合检验”做成系统默认行为：训练/测试集切分、样本外独立验证、Deflated Sharpe Ratio 对多重检验惩罚、因子动物园（Factor Zoo）检验复合因子相对经典基准的增量 ICIR 与最大相关性——四道防线构成可直接交付给机构尽调的算法可信度证明。此外，离线鲁棒性设计（合成数据兜底 + 本地 jieba 检索 + 关键词模板）保证“断网也能跑、现场不掉链”，是面向比赛演示与落地部署的差异化能力。</w:t>
      </w:r>
    </w:p>
    <w:p>
      <w:pPr>
        <w:spacing w:before="280" w:after="160" w:line="360" w:lineRule="auto"/>
      </w:pPr>
      <w:r>
        <w:rPr>
          <w:rFonts w:ascii="黑体" w:hAnsi="黑体" w:eastAsia="黑体"/>
          <w:b/>
          <w:sz w:val="32"/>
        </w:rPr>
        <w:t>四、作品的实际应用价值和现实意义</w:t>
      </w:r>
    </w:p>
    <w:p>
      <w:pPr>
        <w:spacing w:line="360" w:lineRule="auto" w:after="80"/>
        <w:ind w:firstLine="480"/>
      </w:pPr>
      <w:r>
        <w:rPr>
          <w:rFonts w:ascii="宋体" w:hAnsi="宋体" w:eastAsia="宋体"/>
          <w:b w:val="0"/>
          <w:sz w:val="24"/>
        </w:rPr>
        <w:t>本作品价值可归纳为三点。效率跃迁：想法到可回测因子由小时级降至分钟级，反思闭环自动纠错，显著降低研究员重复劳动。纪律内建：前视扫描、样本外验证、DSR、因子动物园把量化研究的工程纪律沉淀为系统默认动作，抑制“伪因子”流入实盘。知识沉淀：自主学习库让机构因子研究资产可累积复用，形成“越用越聪明”的飞轮。</w:t>
      </w:r>
    </w:p>
    <w:p>
      <w:pPr>
        <w:spacing w:line="360" w:lineRule="auto" w:after="80"/>
        <w:ind w:firstLine="480"/>
      </w:pPr>
      <w:r>
        <w:rPr>
          <w:rFonts w:ascii="宋体" w:hAnsi="宋体" w:eastAsia="宋体"/>
          <w:b w:val="0"/>
          <w:sz w:val="24"/>
        </w:rPr>
        <w:t>现实意义层面，作品可服务于券商研究所因子服务、基金量化投研中台、高校金融工程教学实训，以及在普惠金融场景下支撑智能投顾的因子生产，对降低量化投研门槛、提升研究合规性与可复现性具有直接产业价值。</w:t>
      </w:r>
    </w:p>
    <w:p>
      <w:pPr>
        <w:spacing w:before="280" w:after="160" w:line="360" w:lineRule="auto"/>
      </w:pPr>
      <w:r>
        <w:rPr>
          <w:rFonts w:ascii="黑体" w:hAnsi="黑体" w:eastAsia="黑体"/>
          <w:b/>
          <w:sz w:val="32"/>
        </w:rPr>
        <w:t>五、当前国内外同类课题研究水平概述</w:t>
      </w:r>
    </w:p>
    <w:p>
      <w:pPr>
        <w:spacing w:line="360" w:lineRule="auto" w:after="80"/>
        <w:ind w:firstLine="480"/>
      </w:pPr>
      <w:r>
        <w:rPr>
          <w:rFonts w:ascii="宋体" w:hAnsi="宋体" w:eastAsia="宋体"/>
          <w:b w:val="0"/>
          <w:sz w:val="24"/>
        </w:rPr>
        <w:t>国外方面，WorldQuant 提出“101 Formulaic Alphas”系统化了表达式因子挖掘，QuantConnect、WorldQuant Brain 等平台提供因子研究云端环境；学术界将强化学习、Transformer 与遗传规划用于 alpha 挖掘（如 AlphaGen、基于 PPO 的组合搜索），亦有大量“LLM for Finance”研究探索用大模型生成与解释因子，但多数停留在单点实验，缺乏“生成—校验—回测—过拟合检验—可解释交付”的工程化闭环。</w:t>
      </w:r>
    </w:p>
    <w:p>
      <w:pPr>
        <w:spacing w:line="360" w:lineRule="auto" w:after="80"/>
        <w:ind w:firstLine="480"/>
      </w:pPr>
      <w:r>
        <w:rPr>
          <w:rFonts w:ascii="宋体" w:hAnsi="宋体" w:eastAsia="宋体"/>
          <w:b w:val="0"/>
          <w:sz w:val="24"/>
        </w:rPr>
        <w:t>国内方面，聚宽、米筐、优矿等量化平台提供因子库与回测框架，头部机构自研“量化 GPT”辅助研究，但普遍未把前视偏差沙箱与样本外过拟合检验作为系统级默认能力。本作品与上述方案的关键差异在于：将检索增强、反思自纠错与四道过拟合防线一体化，并额外提供离线鲁棒性与多 LLM 路由，兼具研究深度与工程可用度。</w:t>
      </w:r>
    </w:p>
    <w:p>
      <w:pPr>
        <w:spacing w:before="280" w:after="160" w:line="360" w:lineRule="auto"/>
      </w:pPr>
      <w:r>
        <w:rPr>
          <w:rFonts w:ascii="黑体" w:hAnsi="黑体" w:eastAsia="黑体"/>
          <w:b/>
          <w:sz w:val="32"/>
        </w:rPr>
        <w:t>六、作品的技术路线、实现方案及关键技术</w:t>
      </w:r>
    </w:p>
    <w:p>
      <w:pPr>
        <w:spacing w:before="160" w:after="80" w:line="360" w:lineRule="auto"/>
      </w:pPr>
      <w:r>
        <w:rPr>
          <w:rFonts w:ascii="黑体" w:hAnsi="黑体" w:eastAsia="黑体"/>
          <w:b/>
          <w:sz w:val="28"/>
        </w:rPr>
        <w:t>（一）总体架构</w:t>
      </w:r>
    </w:p>
    <w:p>
      <w:pPr>
        <w:spacing w:line="360" w:lineRule="auto" w:after="80"/>
        <w:ind w:firstLine="480"/>
      </w:pPr>
      <w:r>
        <w:rPr>
          <w:rFonts w:ascii="宋体" w:hAnsi="宋体" w:eastAsia="宋体"/>
          <w:b w:val="0"/>
          <w:sz w:val="24"/>
        </w:rPr>
        <w:t>系统采用“分层 + 多 Agent 编排”架构，自顶向下为：表现层（Streamlit 13 页交互前端）、智能体编排层（LangGraph 状态机 + 多 LLM 路由）、因子工程层（沙箱/后处理/回测/风险归因）、复合因子流水线层（精炼厂六阶段）、数据知识层（行情多源 + 向量知识库 + 学习库 + 多模型接入）。全局配置集中于 config.yaml，支持运行时切换 LLM、数据源、精炼厂参数与回测假设（T+1、涨跌停、佣金、流动性门槛）。</w:t>
      </w:r>
    </w:p>
    <w:p>
      <w:pPr>
        <w:spacing w:before="160" w:after="80" w:line="360" w:lineRule="auto"/>
      </w:pPr>
      <w:r>
        <w:rPr>
          <w:rFonts w:ascii="黑体" w:hAnsi="黑体" w:eastAsia="黑体"/>
          <w:b/>
          <w:sz w:val="28"/>
        </w:rPr>
        <w:t>（二）单因子挖掘智能体（FactorAgent）</w:t>
      </w:r>
    </w:p>
    <w:p>
      <w:pPr>
        <w:spacing w:line="360" w:lineRule="auto" w:after="80"/>
        <w:ind w:firstLine="480"/>
      </w:pPr>
      <w:r>
        <w:rPr>
          <w:rFonts w:ascii="宋体" w:hAnsi="宋体" w:eastAsia="宋体"/>
          <w:b w:val="0"/>
          <w:sz w:val="24"/>
        </w:rPr>
        <w:t>src/agent/graph.py 用 LangGraph 编排七节点闭环（retrieve → generate → validate → evaluate → reflect → learn → finalize）：知识检索命中学习库模板；生成严格契约的 alpha_factor(df) 函数并附经济学逻辑与学术引用；沙箱做 AST 前视扫描与子进程执行，输出经去极值—中性化—标准化后的因子长表；回测引擎计算 IC/RankIC/ICIR 与分层/多空指标并做样本外验证与风险归因；不达标时 LLM 读取错误精准修复；通过校验的因子写入学习库实现自主学习；终局产出可解释报告。</w:t>
      </w:r>
    </w:p>
    <w:p>
      <w:pPr>
        <w:spacing w:before="160" w:after="80" w:line="360" w:lineRule="auto"/>
      </w:pPr>
      <w:r>
        <w:rPr>
          <w:rFonts w:ascii="黑体" w:hAnsi="黑体" w:eastAsia="黑体"/>
          <w:b/>
          <w:sz w:val="28"/>
        </w:rPr>
        <w:t>（三）因子精炼厂（六阶段冶炼流水线）</w:t>
      </w:r>
    </w:p>
    <w:tbl>
      <w:tblPr>
        <w:tblStyle w:val="TableGrid"/>
        <w:tblW w:type="auto" w:w="0"/>
        <w:jc w:val="center"/>
        <w:tblLook w:firstColumn="1" w:firstRow="1" w:lastColumn="0" w:lastRow="0" w:noHBand="0" w:noVBand="1" w:val="04A0"/>
      </w:tblPr>
      <w:tblGrid>
        <w:gridCol w:w="2946"/>
        <w:gridCol w:w="2946"/>
        <w:gridCol w:w="2946"/>
      </w:tblGrid>
      <w:tr>
        <w:tc>
          <w:tcPr>
            <w:tcW w:type="dxa" w:w="1247"/>
          </w:tcPr>
          <w:p>
            <w:r/>
            <w:r>
              <w:rPr>
                <w:rFonts w:ascii="黑体" w:hAnsi="黑体" w:eastAsia="黑体"/>
                <w:b/>
                <w:sz w:val="22"/>
              </w:rPr>
              <w:t>阶段</w:t>
            </w:r>
          </w:p>
        </w:tc>
        <w:tc>
          <w:tcPr>
            <w:tcW w:type="dxa" w:w="2268"/>
          </w:tcPr>
          <w:p>
            <w:r/>
            <w:r>
              <w:rPr>
                <w:rFonts w:ascii="黑体" w:hAnsi="黑体" w:eastAsia="黑体"/>
                <w:b/>
                <w:sz w:val="22"/>
              </w:rPr>
              <w:t>名称</w:t>
            </w:r>
          </w:p>
        </w:tc>
        <w:tc>
          <w:tcPr>
            <w:tcW w:type="dxa" w:w="5102"/>
          </w:tcPr>
          <w:p>
            <w:r/>
            <w:r>
              <w:rPr>
                <w:rFonts w:ascii="黑体" w:hAnsi="黑体" w:eastAsia="黑体"/>
                <w:b/>
                <w:sz w:val="22"/>
              </w:rPr>
              <w:t>关键技术</w:t>
            </w:r>
          </w:p>
        </w:tc>
      </w:tr>
      <w:tr>
        <w:tc>
          <w:tcPr>
            <w:tcW w:type="dxa" w:w="1247"/>
          </w:tcPr>
          <w:p>
            <w:r/>
            <w:r>
              <w:rPr>
                <w:rFonts w:ascii="宋体" w:hAnsi="宋体" w:eastAsia="宋体"/>
                <w:b w:val="0"/>
                <w:sz w:val="22"/>
              </w:rPr>
              <w:t>PART-01</w:t>
            </w:r>
          </w:p>
        </w:tc>
        <w:tc>
          <w:tcPr>
            <w:tcW w:type="dxa" w:w="2268"/>
          </w:tcPr>
          <w:p>
            <w:r/>
            <w:r>
              <w:rPr>
                <w:rFonts w:ascii="宋体" w:hAnsi="宋体" w:eastAsia="宋体"/>
                <w:b w:val="0"/>
                <w:sz w:val="22"/>
              </w:rPr>
              <w:t>特征锻造 FeatureForge</w:t>
            </w:r>
          </w:p>
        </w:tc>
        <w:tc>
          <w:tcPr>
            <w:tcW w:type="dxa" w:w="5102"/>
          </w:tcPr>
          <w:p>
            <w:r/>
            <w:r>
              <w:rPr>
                <w:rFonts w:ascii="宋体" w:hAnsi="宋体" w:eastAsia="宋体"/>
                <w:b w:val="0"/>
                <w:sz w:val="22"/>
              </w:rPr>
              <w:t>基础因子池构建、去极值与标准化</w:t>
            </w:r>
          </w:p>
        </w:tc>
      </w:tr>
      <w:tr>
        <w:tc>
          <w:tcPr>
            <w:tcW w:type="dxa" w:w="1247"/>
          </w:tcPr>
          <w:p>
            <w:r/>
            <w:r>
              <w:rPr>
                <w:rFonts w:ascii="宋体" w:hAnsi="宋体" w:eastAsia="宋体"/>
                <w:b w:val="0"/>
                <w:sz w:val="22"/>
              </w:rPr>
              <w:t>PART-02</w:t>
            </w:r>
          </w:p>
        </w:tc>
        <w:tc>
          <w:tcPr>
            <w:tcW w:type="dxa" w:w="2268"/>
          </w:tcPr>
          <w:p>
            <w:r/>
            <w:r>
              <w:rPr>
                <w:rFonts w:ascii="宋体" w:hAnsi="宋体" w:eastAsia="宋体"/>
                <w:b w:val="0"/>
                <w:sz w:val="22"/>
              </w:rPr>
              <w:t>向量化 + 强化学习</w:t>
            </w:r>
          </w:p>
        </w:tc>
        <w:tc>
          <w:tcPr>
            <w:tcW w:type="dxa" w:w="5102"/>
          </w:tcPr>
          <w:p>
            <w:r/>
            <w:r>
              <w:rPr>
                <w:rFonts w:ascii="宋体" w:hAnsi="宋体" w:eastAsia="宋体"/>
                <w:b w:val="0"/>
                <w:sz w:val="22"/>
              </w:rPr>
              <w:t>Transformer 时序表征 + MaskablePPO 组合权重搜索</w:t>
            </w:r>
          </w:p>
        </w:tc>
      </w:tr>
      <w:tr>
        <w:tc>
          <w:tcPr>
            <w:tcW w:type="dxa" w:w="1247"/>
          </w:tcPr>
          <w:p>
            <w:r/>
            <w:r>
              <w:rPr>
                <w:rFonts w:ascii="宋体" w:hAnsi="宋体" w:eastAsia="宋体"/>
                <w:b w:val="0"/>
                <w:sz w:val="22"/>
              </w:rPr>
              <w:t>PART-03</w:t>
            </w:r>
          </w:p>
        </w:tc>
        <w:tc>
          <w:tcPr>
            <w:tcW w:type="dxa" w:w="2268"/>
          </w:tcPr>
          <w:p>
            <w:r/>
            <w:r>
              <w:rPr>
                <w:rFonts w:ascii="宋体" w:hAnsi="宋体" w:eastAsia="宋体"/>
                <w:b w:val="0"/>
                <w:sz w:val="22"/>
              </w:rPr>
              <w:t>RPN 公式挖掘</w:t>
            </w:r>
          </w:p>
        </w:tc>
        <w:tc>
          <w:tcPr>
            <w:tcW w:type="dxa" w:w="5102"/>
          </w:tcPr>
          <w:p>
            <w:r/>
            <w:r>
              <w:rPr>
                <w:rFonts w:ascii="宋体" w:hAnsi="宋体" w:eastAsia="宋体"/>
                <w:b w:val="0"/>
                <w:sz w:val="22"/>
              </w:rPr>
              <w:t>反波兰式表达式随机生成 + IC/ICIR 评价</w:t>
            </w:r>
          </w:p>
        </w:tc>
      </w:tr>
      <w:tr>
        <w:tc>
          <w:tcPr>
            <w:tcW w:type="dxa" w:w="1247"/>
          </w:tcPr>
          <w:p>
            <w:r/>
            <w:r>
              <w:rPr>
                <w:rFonts w:ascii="宋体" w:hAnsi="宋体" w:eastAsia="宋体"/>
                <w:b w:val="0"/>
                <w:sz w:val="22"/>
              </w:rPr>
              <w:t>PART-04</w:t>
            </w:r>
          </w:p>
        </w:tc>
        <w:tc>
          <w:tcPr>
            <w:tcW w:type="dxa" w:w="2268"/>
          </w:tcPr>
          <w:p>
            <w:r/>
            <w:r>
              <w:rPr>
                <w:rFonts w:ascii="宋体" w:hAnsi="宋体" w:eastAsia="宋体"/>
                <w:b w:val="0"/>
                <w:sz w:val="22"/>
              </w:rPr>
              <w:t>浮选筛选 Screener</w:t>
            </w:r>
          </w:p>
        </w:tc>
        <w:tc>
          <w:tcPr>
            <w:tcW w:type="dxa" w:w="5102"/>
          </w:tcPr>
          <w:p>
            <w:r/>
            <w:r>
              <w:rPr>
                <w:rFonts w:ascii="宋体" w:hAnsi="宋体" w:eastAsia="宋体"/>
                <w:b w:val="0"/>
                <w:sz w:val="22"/>
              </w:rPr>
              <w:t>LASSO 剔除冗余 + 人工协作约束</w:t>
            </w:r>
          </w:p>
        </w:tc>
      </w:tr>
      <w:tr>
        <w:tc>
          <w:tcPr>
            <w:tcW w:type="dxa" w:w="1247"/>
          </w:tcPr>
          <w:p>
            <w:r/>
            <w:r>
              <w:rPr>
                <w:rFonts w:ascii="宋体" w:hAnsi="宋体" w:eastAsia="宋体"/>
                <w:b w:val="0"/>
                <w:sz w:val="22"/>
              </w:rPr>
              <w:t>PART-05</w:t>
            </w:r>
          </w:p>
        </w:tc>
        <w:tc>
          <w:tcPr>
            <w:tcW w:type="dxa" w:w="2268"/>
          </w:tcPr>
          <w:p>
            <w:r/>
            <w:r>
              <w:rPr>
                <w:rFonts w:ascii="宋体" w:hAnsi="宋体" w:eastAsia="宋体"/>
                <w:b w:val="0"/>
                <w:sz w:val="22"/>
              </w:rPr>
              <w:t>因子池 AlphaPool</w:t>
            </w:r>
          </w:p>
        </w:tc>
        <w:tc>
          <w:tcPr>
            <w:tcW w:type="dxa" w:w="5102"/>
          </w:tcPr>
          <w:p>
            <w:r/>
            <w:r>
              <w:rPr>
                <w:rFonts w:ascii="宋体" w:hAnsi="宋体" w:eastAsia="宋体"/>
                <w:b w:val="0"/>
                <w:sz w:val="22"/>
              </w:rPr>
              <w:t>ICIR 加权合成 + 正交化 + Leave-One-Out</w:t>
            </w:r>
          </w:p>
        </w:tc>
      </w:tr>
      <w:tr>
        <w:tc>
          <w:tcPr>
            <w:tcW w:type="dxa" w:w="1247"/>
          </w:tcPr>
          <w:p>
            <w:r/>
            <w:r>
              <w:rPr>
                <w:rFonts w:ascii="宋体" w:hAnsi="宋体" w:eastAsia="宋体"/>
                <w:b w:val="0"/>
                <w:sz w:val="22"/>
              </w:rPr>
              <w:t>PART-06</w:t>
            </w:r>
          </w:p>
        </w:tc>
        <w:tc>
          <w:tcPr>
            <w:tcW w:type="dxa" w:w="2268"/>
          </w:tcPr>
          <w:p>
            <w:r/>
            <w:r>
              <w:rPr>
                <w:rFonts w:ascii="宋体" w:hAnsi="宋体" w:eastAsia="宋体"/>
                <w:b w:val="0"/>
                <w:sz w:val="22"/>
              </w:rPr>
              <w:t>方法学报告</w:t>
            </w:r>
          </w:p>
        </w:tc>
        <w:tc>
          <w:tcPr>
            <w:tcW w:type="dxa" w:w="5102"/>
          </w:tcPr>
          <w:p>
            <w:r/>
            <w:r>
              <w:rPr>
                <w:rFonts w:ascii="宋体" w:hAnsi="宋体" w:eastAsia="宋体"/>
                <w:b w:val="0"/>
                <w:sz w:val="22"/>
              </w:rPr>
              <w:t>自动撰写定义、逻辑、解释与回测结论</w:t>
            </w:r>
          </w:p>
        </w:tc>
      </w:tr>
    </w:tbl>
    <w:p/>
    <w:p>
      <w:pPr>
        <w:spacing w:before="160" w:after="80" w:line="360" w:lineRule="auto"/>
      </w:pPr>
      <w:r>
        <w:rPr>
          <w:rFonts w:ascii="黑体" w:hAnsi="黑体" w:eastAsia="黑体"/>
          <w:b/>
          <w:sz w:val="28"/>
        </w:rPr>
        <w:t>（四）关键技术</w:t>
      </w:r>
    </w:p>
    <w:p>
      <w:pPr>
        <w:pStyle w:val="ListBullet"/>
        <w:spacing w:line="360" w:lineRule="auto"/>
        <w:ind w:firstLine="0"/>
      </w:pPr>
      <w:r>
        <w:rPr>
          <w:rFonts w:ascii="宋体" w:hAnsi="宋体" w:eastAsia="宋体"/>
          <w:b w:val="0"/>
          <w:sz w:val="24"/>
        </w:rPr>
        <w:t>安全沙箱（engine/factor_builder.py）：仅允许 pandas/numpy/scipy/math/statsmodels/datetime 导入，内置函数裁剪为最小量化子集，analyze_lookahead 用 AST 检测 shift(0)/shift(-1) 与 future_ret 等未来变量，use_subprocess=True + 超时在隔离进程运行。</w:t>
      </w:r>
    </w:p>
    <w:p>
      <w:pPr>
        <w:pStyle w:val="ListBullet"/>
        <w:spacing w:line="360" w:lineRule="auto"/>
        <w:ind w:firstLine="0"/>
      </w:pPr>
      <w:r>
        <w:rPr>
          <w:rFonts w:ascii="宋体" w:hAnsi="宋体" w:eastAsia="宋体"/>
          <w:b w:val="0"/>
          <w:sz w:val="24"/>
        </w:rPr>
        <w:t>回测引擎（engine/backtest.py）：基于 alphalens-reloaded 实现 IC、RankIC、ICIR、分层收益、多空组合、最大回撤、换手率等指标。</w:t>
      </w:r>
    </w:p>
    <w:p>
      <w:pPr>
        <w:pStyle w:val="ListBullet"/>
        <w:spacing w:line="360" w:lineRule="auto"/>
        <w:ind w:firstLine="0"/>
      </w:pPr>
      <w:r>
        <w:rPr>
          <w:rFonts w:ascii="宋体" w:hAnsi="宋体" w:eastAsia="宋体"/>
          <w:b w:val="0"/>
          <w:sz w:val="24"/>
        </w:rPr>
        <w:t>RAG 知识库（src/rag）：ChromaDB + BGE 中文嵌入（国内自动走 hf-mirror 镜像），未装 sentence-transformers 时降级为 jieba + TF-IDF 本地检索。</w:t>
      </w:r>
    </w:p>
    <w:p>
      <w:pPr>
        <w:pStyle w:val="ListBullet"/>
        <w:spacing w:line="360" w:lineRule="auto"/>
        <w:ind w:firstLine="0"/>
      </w:pPr>
      <w:r>
        <w:rPr>
          <w:rFonts w:ascii="宋体" w:hAnsi="宋体" w:eastAsia="宋体"/>
          <w:b w:val="0"/>
          <w:sz w:val="24"/>
        </w:rPr>
        <w:t>多模型与多数据源：默认本地 ollama 离线；可选 DeepSeek/通义/OpenAI 兼容端点及 Kronos；行情经新浪/腾讯/AKShare/Tushare 多源回退链获取并 SQLite 缓存。</w:t>
      </w:r>
    </w:p>
    <w:p>
      <w:pPr>
        <w:spacing w:before="280" w:after="160" w:line="360" w:lineRule="auto"/>
      </w:pPr>
      <w:r>
        <w:rPr>
          <w:rFonts w:ascii="黑体" w:hAnsi="黑体" w:eastAsia="黑体"/>
          <w:b/>
          <w:sz w:val="32"/>
        </w:rPr>
        <w:t>七、作品的研究过程、测试与验证</w:t>
      </w:r>
    </w:p>
    <w:p>
      <w:pPr>
        <w:spacing w:before="160" w:after="80" w:line="360" w:lineRule="auto"/>
      </w:pPr>
      <w:r>
        <w:rPr>
          <w:rFonts w:ascii="黑体" w:hAnsi="黑体" w:eastAsia="黑体"/>
          <w:b/>
          <w:sz w:val="28"/>
        </w:rPr>
        <w:t>（一）单因子闭环验证</w:t>
      </w:r>
    </w:p>
    <w:p>
      <w:pPr>
        <w:spacing w:line="360" w:lineRule="auto" w:after="80"/>
        <w:ind w:firstLine="480"/>
      </w:pPr>
      <w:r>
        <w:rPr>
          <w:rFonts w:ascii="宋体" w:hAnsi="宋体" w:eastAsia="宋体"/>
          <w:b w:val="0"/>
          <w:sz w:val="24"/>
        </w:rPr>
        <w:t>对每个自然语言文字想法，系统执行七节点闭环并自动落盘回测图（IC 序列、分层收益、多空权益）。实验追踪（engine/tracking.py）记录代码、指标、参数与 git commit，支撑可复现与可审计；OOS 时段不参与反思与早停，杜绝用样本外调参导致的过拟合。</w:t>
      </w:r>
    </w:p>
    <w:p>
      <w:pPr>
        <w:spacing w:before="160" w:after="80" w:line="360" w:lineRule="auto"/>
      </w:pPr>
      <w:r>
        <w:rPr>
          <w:rFonts w:ascii="黑体" w:hAnsi="黑体" w:eastAsia="黑体"/>
          <w:b/>
          <w:sz w:val="28"/>
        </w:rPr>
        <w:t>（二）复合因子流水线验证</w:t>
      </w:r>
    </w:p>
    <w:p>
      <w:pPr>
        <w:spacing w:line="360" w:lineRule="auto" w:after="80"/>
        <w:ind w:firstLine="480"/>
      </w:pPr>
      <w:r>
        <w:rPr>
          <w:rFonts w:ascii="宋体" w:hAnsi="宋体" w:eastAsia="宋体"/>
          <w:b w:val="0"/>
          <w:sz w:val="24"/>
        </w:rPr>
        <w:t>精炼厂输出复合因子序列、入选清单、复合 ICIR、组合回测（T+1、涨跌停约束、佣金与流动性门槛建模）及与中证 800 等权基准对比。鲁棒性环节输出 Deflated Sharpe Ratio 过拟合判定（verdict：通过/需警惕），因子动物园输出增量 ICIR 与同最强基准的最大相关性，识别“换皮基准因子”。</w:t>
      </w:r>
    </w:p>
    <w:p>
      <w:pPr>
        <w:spacing w:before="160" w:after="80" w:line="360" w:lineRule="auto"/>
      </w:pPr>
      <w:r>
        <w:rPr>
          <w:rFonts w:ascii="黑体" w:hAnsi="黑体" w:eastAsia="黑体"/>
          <w:b/>
          <w:sz w:val="28"/>
        </w:rPr>
        <w:t>（三）关键回测指标体系</w:t>
      </w:r>
    </w:p>
    <w:tbl>
      <w:tblPr>
        <w:tblStyle w:val="TableGrid"/>
        <w:tblW w:type="auto" w:w="0"/>
        <w:jc w:val="center"/>
        <w:tblLook w:firstColumn="1" w:firstRow="1" w:lastColumn="0" w:lastRow="0" w:noHBand="0" w:noVBand="1" w:val="04A0"/>
      </w:tblPr>
      <w:tblGrid>
        <w:gridCol w:w="4419"/>
        <w:gridCol w:w="4419"/>
      </w:tblGrid>
      <w:tr>
        <w:tc>
          <w:tcPr>
            <w:tcW w:type="dxa" w:w="1984"/>
          </w:tcPr>
          <w:p>
            <w:r/>
            <w:r>
              <w:rPr>
                <w:rFonts w:ascii="黑体" w:hAnsi="黑体" w:eastAsia="黑体"/>
                <w:b/>
                <w:sz w:val="22"/>
              </w:rPr>
              <w:t>指标类别</w:t>
            </w:r>
          </w:p>
        </w:tc>
        <w:tc>
          <w:tcPr>
            <w:tcW w:type="dxa" w:w="6633"/>
          </w:tcPr>
          <w:p>
            <w:r/>
            <w:r>
              <w:rPr>
                <w:rFonts w:ascii="黑体" w:hAnsi="黑体" w:eastAsia="黑体"/>
                <w:b/>
                <w:sz w:val="22"/>
              </w:rPr>
              <w:t>具体指标</w:t>
            </w:r>
          </w:p>
        </w:tc>
      </w:tr>
      <w:tr>
        <w:tc>
          <w:tcPr>
            <w:tcW w:type="dxa" w:w="1984"/>
          </w:tcPr>
          <w:p>
            <w:r/>
            <w:r>
              <w:rPr>
                <w:rFonts w:ascii="宋体" w:hAnsi="宋体" w:eastAsia="宋体"/>
                <w:b w:val="0"/>
                <w:sz w:val="22"/>
              </w:rPr>
              <w:t>预测力</w:t>
            </w:r>
          </w:p>
        </w:tc>
        <w:tc>
          <w:tcPr>
            <w:tcW w:type="dxa" w:w="6633"/>
          </w:tcPr>
          <w:p>
            <w:r/>
            <w:r>
              <w:rPr>
                <w:rFonts w:ascii="宋体" w:hAnsi="宋体" w:eastAsia="宋体"/>
                <w:b w:val="0"/>
                <w:sz w:val="22"/>
              </w:rPr>
              <w:t>IC、RankIC、ICIR（信息比率）、IC 正向占比</w:t>
            </w:r>
          </w:p>
        </w:tc>
      </w:tr>
      <w:tr>
        <w:tc>
          <w:tcPr>
            <w:tcW w:type="dxa" w:w="1984"/>
          </w:tcPr>
          <w:p>
            <w:r/>
            <w:r>
              <w:rPr>
                <w:rFonts w:ascii="宋体" w:hAnsi="宋体" w:eastAsia="宋体"/>
                <w:b w:val="0"/>
                <w:sz w:val="22"/>
              </w:rPr>
              <w:t>分层</w:t>
            </w:r>
          </w:p>
        </w:tc>
        <w:tc>
          <w:tcPr>
            <w:tcW w:type="dxa" w:w="6633"/>
          </w:tcPr>
          <w:p>
            <w:r/>
            <w:r>
              <w:rPr>
                <w:rFonts w:ascii="宋体" w:hAnsi="宋体" w:eastAsia="宋体"/>
                <w:b w:val="0"/>
                <w:sz w:val="22"/>
              </w:rPr>
              <w:t>分位数平均/年化/累计收益、Sharpe、单调性</w:t>
            </w:r>
          </w:p>
        </w:tc>
      </w:tr>
      <w:tr>
        <w:tc>
          <w:tcPr>
            <w:tcW w:type="dxa" w:w="1984"/>
          </w:tcPr>
          <w:p>
            <w:r/>
            <w:r>
              <w:rPr>
                <w:rFonts w:ascii="宋体" w:hAnsi="宋体" w:eastAsia="宋体"/>
                <w:b w:val="0"/>
                <w:sz w:val="22"/>
              </w:rPr>
              <w:t>多空</w:t>
            </w:r>
          </w:p>
        </w:tc>
        <w:tc>
          <w:tcPr>
            <w:tcW w:type="dxa" w:w="6633"/>
          </w:tcPr>
          <w:p>
            <w:r/>
            <w:r>
              <w:rPr>
                <w:rFonts w:ascii="宋体" w:hAnsi="宋体" w:eastAsia="宋体"/>
                <w:b w:val="0"/>
                <w:sz w:val="22"/>
              </w:rPr>
              <w:t>多空组合累计收益、年化收益、Sharpe</w:t>
            </w:r>
          </w:p>
        </w:tc>
      </w:tr>
      <w:tr>
        <w:tc>
          <w:tcPr>
            <w:tcW w:type="dxa" w:w="1984"/>
          </w:tcPr>
          <w:p>
            <w:r/>
            <w:r>
              <w:rPr>
                <w:rFonts w:ascii="宋体" w:hAnsi="宋体" w:eastAsia="宋体"/>
                <w:b w:val="0"/>
                <w:sz w:val="22"/>
              </w:rPr>
              <w:t>风险</w:t>
            </w:r>
          </w:p>
        </w:tc>
        <w:tc>
          <w:tcPr>
            <w:tcW w:type="dxa" w:w="6633"/>
          </w:tcPr>
          <w:p>
            <w:r/>
            <w:r>
              <w:rPr>
                <w:rFonts w:ascii="宋体" w:hAnsi="宋体" w:eastAsia="宋体"/>
                <w:b w:val="0"/>
                <w:sz w:val="22"/>
              </w:rPr>
              <w:t>最大回撤、换手率、覆盖率、风格/行业风险暴露归因</w:t>
            </w:r>
          </w:p>
        </w:tc>
      </w:tr>
    </w:tbl>
    <w:p/>
    <w:p>
      <w:pPr>
        <w:spacing w:before="160" w:after="80" w:line="360" w:lineRule="auto"/>
      </w:pPr>
      <w:r>
        <w:rPr>
          <w:rFonts w:ascii="黑体" w:hAnsi="黑体" w:eastAsia="黑体"/>
          <w:b/>
          <w:sz w:val="28"/>
        </w:rPr>
        <w:t>（四）离线鲁棒性验证</w:t>
      </w:r>
    </w:p>
    <w:p>
      <w:pPr>
        <w:spacing w:line="360" w:lineRule="auto" w:after="80"/>
        <w:ind w:firstLine="480"/>
      </w:pPr>
      <w:r>
        <w:rPr>
          <w:rFonts w:ascii="宋体" w:hAnsi="宋体" w:eastAsia="宋体"/>
          <w:b w:val="0"/>
          <w:sz w:val="24"/>
        </w:rPr>
        <w:t>为应对比赛现场网络/API 风险，系统设计了离线演示模式：use_real_data=false 时生成可复现合成数据，cache_only=true 时复用预抓取快照，配合本地 ollama + jieba 检索 + 关键词因子模板，保证“零网络也能完整演示闭环”。知识库已沉淀 606 条已验证因子（data/learned_factors.xlsx）可供检索复用。</w:t>
      </w:r>
    </w:p>
    <w:p>
      <w:pPr>
        <w:spacing w:before="280" w:after="160" w:line="360" w:lineRule="auto"/>
      </w:pPr>
      <w:r>
        <w:rPr>
          <w:rFonts w:ascii="黑体" w:hAnsi="黑体" w:eastAsia="黑体"/>
          <w:b/>
          <w:sz w:val="32"/>
        </w:rPr>
        <w:t>八、作品的发展前景</w:t>
      </w:r>
    </w:p>
    <w:p>
      <w:pPr>
        <w:spacing w:line="360" w:lineRule="auto" w:after="80"/>
        <w:ind w:firstLine="480"/>
      </w:pPr>
      <w:r>
        <w:rPr>
          <w:rFonts w:ascii="宋体" w:hAnsi="宋体" w:eastAsia="宋体"/>
          <w:b w:val="0"/>
          <w:sz w:val="24"/>
        </w:rPr>
        <w:t>应用前景覆盖三条主线：一是券商研究所与基金量化投研中台的因子生产自动化与合规化；二是高校金融工程实训平台，让学生聚焦经济逻辑而非重复编码；三是普惠金融场景下的智能投顾因子供给。技术演进展望：接入舆情、产业链等另类数据；引入因子衰减预警与自动再训练；增强面向监管的可解释性（SHAP/归因可视化）；精炼厂 RL/Transformer 将探索分布式训练以支撑更大因子规模。商业模式上可采取 SaaS 订阅 + 机构私有化部署双轮，按因子调用量与交付报告计费。</w:t>
      </w:r>
    </w:p>
    <w:p>
      <w:pPr>
        <w:spacing w:before="280" w:after="160" w:line="360" w:lineRule="auto"/>
      </w:pPr>
      <w:r>
        <w:rPr>
          <w:rFonts w:ascii="黑体" w:hAnsi="黑体" w:eastAsia="黑体"/>
          <w:b/>
          <w:sz w:val="32"/>
        </w:rPr>
        <w:t>九、参考文献</w:t>
      </w:r>
    </w:p>
    <w:p>
      <w:pPr>
        <w:spacing w:line="360" w:lineRule="auto"/>
        <w:ind w:firstLine="0"/>
      </w:pPr>
      <w:r>
        <w:rPr>
          <w:rFonts w:ascii="宋体" w:hAnsi="宋体" w:eastAsia="宋体"/>
          <w:sz w:val="22"/>
        </w:rPr>
        <w:t>Fama E. F., French K. R. Common risk factors in the returns on stocks and bonds[J]. Journal of Financial Economics, 1993, 33(1): 3-56. DOI: 10.1016/0304-405X(93)90023-5.</w:t>
      </w:r>
    </w:p>
    <w:p>
      <w:pPr>
        <w:spacing w:line="360" w:lineRule="auto"/>
        <w:ind w:firstLine="0"/>
      </w:pPr>
      <w:r>
        <w:rPr>
          <w:rFonts w:ascii="宋体" w:hAnsi="宋体" w:eastAsia="宋体"/>
          <w:sz w:val="22"/>
        </w:rPr>
        <w:t>Fama E. F., French K. R. A five-factor asset pricing model[J]. Journal of Financial Economics, 2015, 116(1): 1-22. DOI: 10.1016/j.jfineco.2014.10.010.</w:t>
      </w:r>
    </w:p>
    <w:p>
      <w:pPr>
        <w:spacing w:line="360" w:lineRule="auto"/>
        <w:ind w:firstLine="0"/>
      </w:pPr>
      <w:r>
        <w:rPr>
          <w:rFonts w:ascii="宋体" w:hAnsi="宋体" w:eastAsia="宋体"/>
          <w:sz w:val="22"/>
        </w:rPr>
        <w:t>Carhart M. M. On persistence in mutual fund performance[J]. Journal of Finance, 1997, 52(1): 57-82. DOI: 10.1111/j.1540-6261.1997.tb03808.x.</w:t>
      </w:r>
    </w:p>
    <w:p>
      <w:pPr>
        <w:spacing w:line="360" w:lineRule="auto"/>
        <w:ind w:firstLine="0"/>
      </w:pPr>
      <w:r>
        <w:rPr>
          <w:rFonts w:ascii="宋体" w:hAnsi="宋体" w:eastAsia="宋体"/>
          <w:sz w:val="22"/>
        </w:rPr>
        <w:t>Jegadeesh N., Titman S. Returns to buying winners and selling losers: Implications for stock market efficiency[J]. Journal of Finance, 1993, 48(1): 65-91. DOI: 10.1111/j.1540-6261.1993.tb04702.x.</w:t>
      </w:r>
    </w:p>
    <w:p>
      <w:pPr>
        <w:spacing w:line="360" w:lineRule="auto"/>
        <w:ind w:firstLine="0"/>
      </w:pPr>
      <w:r>
        <w:rPr>
          <w:rFonts w:ascii="宋体" w:hAnsi="宋体" w:eastAsia="宋体"/>
          <w:sz w:val="22"/>
        </w:rPr>
        <w:t>Kakushadze Z. 101 Formulaic Alphas[J/OL]. SSRN, 2015. https://ssrn.com/abstract=2701346.</w:t>
      </w:r>
    </w:p>
    <w:p>
      <w:pPr>
        <w:spacing w:line="360" w:lineRule="auto"/>
        <w:ind w:firstLine="0"/>
      </w:pPr>
      <w:r>
        <w:rPr>
          <w:rFonts w:ascii="宋体" w:hAnsi="宋体" w:eastAsia="宋体"/>
          <w:sz w:val="22"/>
        </w:rPr>
        <w:t>Wang S., Liu H., Li C., et al. Alpha-GPT: Human-AI Interactive Alpha Mining for Quantitative Investment[J/OL]. arXiv:2308.00016, 2023. https://arxiv.org/abs/2308.00016.</w:t>
      </w:r>
    </w:p>
    <w:p>
      <w:pPr>
        <w:spacing w:line="360" w:lineRule="auto"/>
        <w:ind w:firstLine="0"/>
      </w:pPr>
      <w:r>
        <w:rPr>
          <w:rFonts w:ascii="宋体" w:hAnsi="宋体" w:eastAsia="宋体"/>
          <w:sz w:val="22"/>
        </w:rPr>
        <w:t>Lee S., Yoon J., Kim M., et al. LLMFactor: Extracting Profitable Factors through Prompts for Explainable Stock Movement Prediction[C]. Findings of the Association for Computational Linguistics (ACL) 2024: 3235-3246. https://aclanthology.org/2024.findings-acl.185/.</w:t>
      </w:r>
    </w:p>
    <w:p>
      <w:pPr>
        <w:spacing w:line="360" w:lineRule="auto"/>
        <w:ind w:firstLine="0"/>
      </w:pPr>
      <w:r>
        <w:rPr>
          <w:rFonts w:ascii="宋体" w:hAnsi="宋体" w:eastAsia="宋体"/>
          <w:sz w:val="22"/>
        </w:rPr>
        <w:t>LangChain. LangGraph: Build stateful, multi-actor applications with LLMs[EB/OL]. https://github.com/langchain-ai/langgraph.</w:t>
      </w:r>
    </w:p>
    <w:p>
      <w:pPr>
        <w:spacing w:line="360" w:lineRule="auto"/>
        <w:ind w:firstLine="0"/>
      </w:pPr>
      <w:r>
        <w:rPr>
          <w:rFonts w:ascii="宋体" w:hAnsi="宋体" w:eastAsia="宋体"/>
          <w:sz w:val="22"/>
        </w:rPr>
        <w:t>Xiao S., Liu Z., Zhang P., et al. C-Pack: Packaged Resources to Advance General Chinese Embedding[J/OL]. arXiv:2309.07597, 2023. https://arxiv.org/abs/2309.07597. (BGE 中文嵌入模型来源)</w:t>
      </w:r>
    </w:p>
    <w:p>
      <w:pPr>
        <w:spacing w:line="360" w:lineRule="auto"/>
        <w:ind w:firstLine="0"/>
      </w:pPr>
      <w:r>
        <w:rPr>
          <w:rFonts w:ascii="宋体" w:hAnsi="宋体" w:eastAsia="宋体"/>
          <w:sz w:val="22"/>
        </w:rPr>
        <w:t>Raffin A., Hill A., Gleave A., et al. Stable-Baselines3: Reliable Reinforcement Learning Implementations[J]. Journal of Machine Learning Research, 2021, 22(268): 1-8. https://jmlr.org/papers/v22/20-1364.html.</w:t>
      </w:r>
    </w:p>
    <w:p>
      <w:pPr>
        <w:spacing w:line="360" w:lineRule="auto"/>
        <w:ind w:firstLine="0"/>
      </w:pPr>
      <w:r>
        <w:rPr>
          <w:rFonts w:ascii="宋体" w:hAnsi="宋体" w:eastAsia="宋体"/>
          <w:sz w:val="22"/>
        </w:rPr>
        <w:t>Stable-Baselines-Team. stable-baselines3-contrib: Stable Baselines3 extensions (MaskablePPO)[EB/OL]. https://github.com/Stable-Baselines-Team/stable-baselines3-contrib.</w:t>
      </w:r>
    </w:p>
    <w:p>
      <w:pPr>
        <w:spacing w:line="360" w:lineRule="auto"/>
        <w:ind w:firstLine="0"/>
      </w:pPr>
      <w:r>
        <w:rPr>
          <w:rFonts w:ascii="宋体" w:hAnsi="宋体" w:eastAsia="宋体"/>
          <w:sz w:val="22"/>
        </w:rPr>
        <w:t>Chroma. Chroma: the open-source embedding database[EB/OL]. https://www.trychroma.com.</w:t>
      </w:r>
    </w:p>
    <w:p>
      <w:pPr>
        <w:spacing w:line="360" w:lineRule="auto"/>
        <w:ind w:firstLine="0"/>
      </w:pPr>
      <w:r>
        <w:rPr>
          <w:rFonts w:ascii="宋体" w:hAnsi="宋体" w:eastAsia="宋体"/>
          <w:sz w:val="22"/>
        </w:rPr>
        <w:t>Quantopian. alphalens: Performance analysis of predictive factors[EB/OL]. https://github.com/quantopian/alphalens.</w:t>
      </w:r>
    </w:p>
    <w:p>
      <w:r>
        <w:rPr>
          <w:rFonts w:ascii="楷体" w:hAnsi="楷体" w:eastAsia="楷体"/>
          <w:color w:val="666666"/>
          <w:sz w:val="20"/>
        </w:rPr>
        <w:t>免责声明：本系统所有因子与回测结果仅供研究与演示，不构成任何投资建议。投资有风险，决策需谨慎。</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