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 w:cs="Microsoft YaHei"/>
          <w:b/>
          <w:color w:val="000000"/>
          <w:sz w:val="50"/>
          <w:lang w:val="zh-CN" w:eastAsia="zh-CN"/>
        </w:rPr>
        <w:t>Paper2Agent 与 Paper2Any 实测</w:t>
      </w:r>
    </w:p>
    <w:p>
      <w:pPr>
        <w:pStyle w:val="Subtitle"/>
      </w:pPr>
      <w:r>
        <w:rPr>
          <w:rFonts w:ascii="Microsoft YaHei" w:hAnsi="Microsoft YaHei" w:eastAsia="Microsoft YaHei" w:cs="Microsoft YaHei"/>
          <w:color w:val="000000"/>
          <w:sz w:val="24"/>
          <w:lang w:val="zh-CN" w:eastAsia="zh-CN"/>
        </w:rPr>
        <w:t>论文阅读包 科学实验与演示文稿生成</w:t>
      </w:r>
    </w:p>
    <w:p>
      <w:pPr>
        <w:spacing w:after="300"/>
      </w:pPr>
      <w:r>
        <w:rPr>
          <w:rFonts w:ascii="Microsoft YaHei" w:hAnsi="Microsoft YaHei" w:eastAsia="Microsoft YaHei" w:cs="Microsoft YaHei"/>
          <w:color w:val="000000"/>
          <w:sz w:val="20"/>
          <w:lang w:val="zh-CN" w:eastAsia="zh-CN"/>
        </w:rPr>
        <w:t>Stella    2026 年 9 月 19 日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把论文交给 AI，最后拿回一份 PPT，这条路径看起来很短。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真正做一次就会发现，中间至少有三个不同的问题：论文有没有读对，实验有没有算对，结果有没有被准确地放进 PPT。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2026 年 9 月 18 日至 19 日，我们围绕 MoleculeNet 做了一次实际测试：使用 Paper2Agent 整理论文，在 Pi GUI 中调用工具完成部分基准实验，再测试 Paper2Any 的大纲生成和 PPT 导出。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19088" cy="2598202"/>
            <wp:docPr id="1" name="Picture 1" descr="两类工具的实际职责。本次科学实验由另外编写的基准脚本执行，不能归为任一工具自动完成的能力。" title="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ool-ro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2598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rFonts w:ascii="Microsoft YaHei" w:hAnsi="Microsoft YaHei" w:eastAsia="Microsoft YaHei" w:cs="Microsoft YaHei"/>
          <w:b w:val="0"/>
          <w:color w:val="526579"/>
          <w:sz w:val="18"/>
          <w:lang w:val="zh-CN" w:eastAsia="zh-CN"/>
        </w:rPr>
        <w:t>图 1  两类工具的实际职责。本次科学实验由另外编写的基准脚本执行，不能归为任一工具自动完成的能力。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结果并非全部成功。论文阅读包通过了带限制的严格验证；48 次科学运行完成并另行核验；Paper2Any 的大纲组件可用，但模型生成页面的链路失败。后来直接调用其原生导出器，才交付了一份 14 页、文字和表格可编辑的 PPTX。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这几项结果不能合并成一句“AI 已经全自动复现论文”。下面把具体过程展开。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1 两个项目的职责与接入方式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先解释一下这里的 Skill。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它不是一个新训练的模型，也不只是几句提示词。以 Pi 的机制为例，Skill 是一个可以包含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SKILL.md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、脚本、参考资料和资源文件的目录。Pi 根据任务加载说明，再调用工具执行其中的流程。安装 Skill，不等于同时安装好了 Python、科学软件和所有模型服务。</w:t>
      </w:r>
      <w:hyperlink r:id="rId11">
        <w:r>
          <w:rPr>
            <w:color w:val="246C91"/>
            <w:rFonts w:ascii="Microsoft YaHei" w:hAnsi="Microsoft YaHei" w:eastAsia="Microsoft YaHei"/>
          </w:rPr>
          <w:t>Pi 官方 Skills 文档</w:t>
        </w:r>
      </w:hyperlink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Paper2Agent 的官方入口分为两条路线：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172534"/>
          <w:lang w:val="zh-CN" w:eastAsia="zh-CN"/>
        </w:rPr>
        <w:t>Paper2Skill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：将 PDF 及相关材料整理成有来源、有审查记录的论文阅读包。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/>
          <w:color w:val="172534"/>
          <w:lang w:val="zh-CN" w:eastAsia="zh-CN"/>
        </w:rPr>
        <w:t>Paper2MCP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：把研究代码中已有的功能包装成可调用的 MCP 工具，并执行相应验证。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前者处理“怎样让 Agent 可靠地读取论文”，后者处理“怎样让 Agent 调用论文背后的代码”。这次实际验证的是前者，没有完成完整的代码转 MCP 流程。</w:t>
      </w:r>
      <w:hyperlink r:id="rId12">
        <w:r>
          <w:rPr>
            <w:color w:val="246C91"/>
            <w:rFonts w:ascii="Microsoft YaHei" w:hAnsi="Microsoft YaHei" w:eastAsia="Microsoft YaHei"/>
          </w:rPr>
          <w:t>Paper2Agent 官方 Skill</w:t>
        </w:r>
      </w:hyperlink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Paper2Any 的测试重点则是内容制作：给定论文与实验材料，生成演示大纲、页面结构，再导出文档。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这里有一个容易被教程写错的地方：</w:t>
      </w:r>
      <w:r>
        <w:rPr>
          <w:rFonts w:ascii="Microsoft YaHei" w:hAnsi="Microsoft YaHei" w:eastAsia="Microsoft YaHei" w:cs="Microsoft YaHei"/>
          <w:b/>
          <w:color w:val="172534"/>
          <w:lang w:val="zh-CN" w:eastAsia="zh-CN"/>
        </w:rPr>
        <w:t>在本次固定版本的 Paper2Any 源码中，没有找到可直接安装进 Pi 的官方 `SKILL.md`。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实际接入方式是调用其 Python 组件，后来再调用前端原生 PPTX 导出器。因此，不能照着 Paper2Agent 的形式，凭空写出一个“安装后输入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/skill:paper2any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”的教程。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88"/>
        <w:gridCol w:w="3888"/>
        <w:gridCol w:w="4133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lang w:val="zh-CN" w:eastAsia="zh-CN"/>
              </w:rPr>
              <w:t>对比项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lang w:val="zh-CN" w:eastAsia="zh-CN"/>
              </w:rPr>
              <w:t>Paper2Agent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lang w:val="zh-CN" w:eastAsia="zh-CN"/>
              </w:rPr>
              <w:t>本次测试的 Paper2Any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接入方式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官方 Skill 文件夹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Python 组件、原生导出器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本次输入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论文 PDF、已有审查记录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阅读材料、已核验的实验结果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主要产物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可供 Agent 检索的论文阅读包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大纲、页面结构、PPTX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本次未验证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完整 Paper2MCP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完整 Web UI、多模态制片流程</w:t>
            </w:r>
          </w:p>
        </w:tc>
      </w:tr>
    </w:tbl>
    <w:p>
      <w:pPr>
        <w:spacing w:after="60" w:before="0" w:line="60" w:lineRule="exact"/>
      </w:pP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还需留意版本背景：截至本文核查时，Paper2Any 仓库已将开源代码标为 legacy snapshot；持续开发的 Nexus Office 托管产品使用另一套实现，不包含在这份仓库中。本文只评价实际检出的开源代码，不评价其商业服务。</w:t>
      </w:r>
      <w:hyperlink r:id="rId13">
        <w:r>
          <w:rPr>
            <w:color w:val="246C91"/>
            <w:rFonts w:ascii="Microsoft YaHei" w:hAnsi="Microsoft YaHei" w:eastAsia="Microsoft YaHei"/>
          </w:rPr>
          <w:t>仓库状态说明</w:t>
        </w:r>
      </w:hyperlink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2 MoleculeNet 的测试范围与执行流程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测试对象是 Wu 等人的 </w:t>
      </w:r>
      <w:r>
        <w:rPr>
          <w:rFonts w:ascii="Microsoft YaHei" w:hAnsi="Microsoft YaHei" w:eastAsia="Microsoft YaHei" w:cs="Microsoft YaHei"/>
          <w:b w:val="0"/>
          <w:i/>
          <w:color w:val="172534"/>
          <w:lang w:val="zh-CN" w:eastAsia="zh-CN"/>
        </w:rPr>
        <w:t>MoleculeNet: a benchmark for molecular machine learning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，发表于 Chemical Science，PubMed 编号为 29629118。这是一篇分子机器学习基准论文，适合检查 AIDD 工作流中的数据处理、建模和结果解释，不是某个靶点的新药设计案例。</w:t>
      </w:r>
      <w:hyperlink r:id="rId14">
        <w:r>
          <w:rPr>
            <w:color w:val="246C91"/>
            <w:rFonts w:ascii="Microsoft YaHei" w:hAnsi="Microsoft YaHei" w:eastAsia="Microsoft YaHei"/>
          </w:rPr>
          <w:t>PubMed 论文记录</w:t>
        </w:r>
      </w:hyperlink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我们使用的是 65 页作者稿。原文覆盖 17 个数据集，这次选取其中三个完整数据集：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ESOL：1,128 条，预测水溶解度。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FreeSolv：642 条，预测水合自由能。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Lipophilicity：4,200 条，预测脂溶性。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每个数据集测试均值基线、随机森林、核岭回归和图卷积模型。三个随机种子共形成 36 次运行，再补充 12 次 ESOL 骨架划分诊断，总计 48 次。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科学计算由 DeepChem 等实际库执行，Agent 负责调用和编排；不是让语言模型“猜一张结果表”。这部分也不是 Paper2Agent 或 Paper2Any 自动提供的实验能力，而是本次另外编写并检查的基准脚本。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运行后，核验脚本重新检查了预测值、指标、分区和来源文件。另有 26 项相关单元测试通过，但这个数字不代表 Pi GUI 的全部功能都通过了测试。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3 Paper2Agent 的结果与审查限制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实际使用的 Paper2Skill 路径是：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实际流程依次为保存来源快照、提取 PDF、导入同源审查记录、构建阅读包、严格验证，再用阅读包检索论文内容。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最后得到 35 个文件：入口与正文等 Markdown 文件，以及 30 张图片和 1 个结果表 CSV。图片保留了不适合直接转成文本的公式、图表和复杂表格。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验证结果中，几个关键字段是：</w:t>
      </w:r>
    </w:p>
    <w:p>
      <w:pPr>
        <w:keepNext/>
        <w:spacing w:before="120" w:after="80"/>
      </w:pPr>
      <w:r>
        <w:rPr>
          <w:rFonts w:ascii="Microsoft YaHei" w:hAnsi="Microsoft YaHei" w:eastAsia="Microsoft YaHei" w:cs="Microsoft YaHei"/>
          <w:b/>
          <w:color w:val="526579"/>
          <w:sz w:val="19"/>
          <w:lang w:val="zh-CN" w:eastAsia="zh-CN"/>
        </w:rPr>
        <w:t>验证结果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{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 "status": "reviewed_with_limitations",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 "mechanical_ok": true,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 "all_sources_agent_reviewed": true,</w:t>
      </w:r>
    </w:p>
    <w:p>
      <w:pPr>
        <w:pStyle w:val="ArticleCode"/>
        <w:keepNext/>
        <w:keepLines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 xml:space="preserve">  "issues": []</w:t>
      </w:r>
    </w:p>
    <w:p>
      <w:pPr>
        <w:pStyle w:val="ArticleCode"/>
        <w:keepNext w:val="0"/>
        <w:keepLines/>
        <w:spacing w:after="200"/>
      </w:pPr>
      <w:r>
        <w:rPr>
          <w:rFonts w:ascii="Consolas" w:hAnsi="Consolas" w:eastAsia="Microsoft YaHei" w:cs="Microsoft YaHei"/>
          <w:color w:val="172534"/>
          <w:sz w:val="19"/>
          <w:lang w:val="zh-CN" w:eastAsia="zh-CN"/>
        </w:rPr>
        <w:t>}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这表示阅读包的机械检查通过，来源审查已记录，但仍有明确限制。它不表示“所有表格都完美变成了结构化数据”，更不表示论文中的结论已经被实验复现。</w:t>
      </w:r>
      <w:hyperlink r:id="rId15">
        <w:r>
          <w:rPr>
            <w:color w:val="246C91"/>
            <w:rFonts w:ascii="Microsoft YaHei" w:hAnsi="Microsoft YaHei" w:eastAsia="Microsoft YaHei"/>
          </w:rPr>
          <w:t>Paper2Skill 验证状态定义</w:t>
        </w:r>
      </w:hyperlink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限制主要有两类。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一类是内容表达。复杂表格和公式保留为图片，阅读时可以核对，但不应假设每个单元格都能直接被程序读取。一次实际解析把“ANI-1”与紧邻的上标文献编号连在了一起；类似问题如果只看提取后的文本，很容易漏掉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另一类是审查来源。本次 Pi GUI 运行复用了主代理此前对同一份 PDF 的逐页审查记录。两份源文件的 SHA-256 一致，导入过程保留了来源；这不是 Pi 在本轮重新独立审查 65 页，也不是人工或多个独立 Agent 的交叉认证。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Windows 上还遇到一个路径问题：包内路径使用反斜杠时，校验逻辑误报。测试副本将相对路径统一为 POSIX 表示后重新验证通过。这是已记录的本地补丁，不能写成“上游原版在 Windows 上无需调整即可通过”。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4 Paper2Any 的生成失败与导出成功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第一轮从原生大纲组件开始。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outline_agent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和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outline_refine_agent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顺序调用真实模型 API，分别生成和修订了 10 页大纲。两条可追踪响应的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finish_reason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都为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stop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，结构检查通过，修订也确实改变了内容。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这一轮历史测试使用 DeepSeek V4.1 Flash。它是测试条件，不是对其他模型兼容性的保证。</w:t>
      </w:r>
    </w:p>
    <w:p>
      <w:pPr>
        <w:keepNext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大纲之后，继续调用原生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Paper2PPTFrontendService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的无图片页面生成路线，问题就出现了：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20 次 API 请求全部返回 HTTP 200。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10 次主题生成请求都在 1,400 token 上限处结束。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第 2、4、9 页也在 3,400 token 上限处结束。</w:t>
      </w:r>
    </w:p>
    <w:p>
      <w:pPr>
        <w:pStyle w:val="ListBullet"/>
      </w:pP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不完整的页面 JSON 触发了默认模板替代。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上游部分返回值仍然可以带有成功标记，但本次验收将这条链路判为失败，没有继续把默认模板打包成“成功生成的报告”。</w:t>
      </w:r>
    </w:p>
    <w:p>
      <w:r>
        <w:rPr>
          <w:rFonts w:ascii="Microsoft YaHei" w:hAnsi="Microsoft YaHei" w:eastAsia="Microsoft YaHei" w:cs="Microsoft YaHei"/>
          <w:b/>
          <w:color w:val="172534"/>
          <w:lang w:val="zh-CN" w:eastAsia="zh-CN"/>
        </w:rPr>
        <w:t>HTTP 200 只证明请求得到了响应，不能证明内容生成完整。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对这种工作流，至少还要核对结束原因、结构解析、页面是否用了默认模板，以及导出文件是否存在。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这也不能直接推导为“某个模型不行”或“Paper2Any 完全不可用”。记录能支持的判断更具体：在这次固定代码、模型和默认请求参数组合下，页面生成没有达到验收要求。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19088" cy="2254323"/>
            <wp:docPr id="2" name="Picture 2" descr="两轮 Paper2Any 测试使用了不同路径。9 月 19 日原生导出成功，不代表 9 月 18 日失败的模型生成链路已恢复。" title="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generation-vs-expo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2254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rFonts w:ascii="Microsoft YaHei" w:hAnsi="Microsoft YaHei" w:eastAsia="Microsoft YaHei" w:cs="Microsoft YaHei"/>
          <w:b w:val="0"/>
          <w:color w:val="526579"/>
          <w:sz w:val="18"/>
          <w:lang w:val="zh-CN" w:eastAsia="zh-CN"/>
        </w:rPr>
        <w:t>图 2  两轮 Paper2Any 测试使用了不同路径。9 月 19 日原生导出成功，不代表 9 月 18 日失败的模型生成链路已恢复。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第二轮换了执行路径。按“不用 Pi，也不再使用 DeepSeek”的要求，由当前 Codex 主代理重新编写内容和 Canvas 页面结构，直接调用 Paper2Any 的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buildCanvasSlidesPptxBlob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导出。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这一轮没有调用 Pi，也没有另行调用 DeepSeek 或其他外部模型 API；页面内容仍由当前 Codex 主代理撰写，所以不是“不使用 AI”。它绕开了此前失败的模型页面生成服务，测试的是原生导出能力。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成品共有 14 页，包含 7 张原生可编辑表格、2 幅论文原图和逐页演讲者备注。我们从最终 PPTX 中读出 32 个结果及对照单元格，与实验汇总逐一比对；14 页均重新渲染并由主代理逐页检查。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导出也并非零问题：原始包有 13 条指向不存在、且未被引用的母版的声明。清理这些失效声明后，包结构检查通过；全部页面 XML 与原生导出仍逐页一致，没有换一套工具重新制版来冒充 Paper2Any 的结果。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因此，本轮结论是“原生导出成功，并完成了明确的打包修复”，不是“此前失败的全自动生成链路已经修好了”。更早那份独立制作的 16 页说明 PPT，也不计作 Paper2Any 原生导出成果。</w:t>
      </w: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19088" cy="3610737"/>
            <wp:docPr id="3" name="Picture 3" descr="Paper2Any 原生导出的实际页面。报告保留 FreeSolv 负结果；本次协议不同于原论文，图中差值只作描述性比较。" title="图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-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3610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rFonts w:ascii="Microsoft YaHei" w:hAnsi="Microsoft YaHei" w:eastAsia="Microsoft YaHei" w:cs="Microsoft YaHei"/>
          <w:b w:val="0"/>
          <w:color w:val="526579"/>
          <w:sz w:val="18"/>
          <w:lang w:val="zh-CN" w:eastAsia="zh-CN"/>
        </w:rPr>
        <w:t>图 3  Paper2Any 原生导出的实际页面。报告保留 FreeSolv 负结果；本次协议不同于原论文，图中差值只作描述性比较。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5 真实实验结果与数据纠正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下面保留三个数据集的关键结果。指标为测试集 RMSE，越低越好；“±”是三个种子的样本标准差。不同数据集单位不同，不能跨行比较数值大小。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053"/>
        <w:gridCol w:w="2347"/>
        <w:gridCol w:w="2347"/>
        <w:gridCol w:w="2362"/>
      </w:tblGrid>
      <w:tr>
        <w:trPr>
          <w:cantSplit/>
          <w:tblHeader/>
        </w:trPr>
        <w:tc>
          <w:tcPr>
            <w:tcW w:type="dxa" w:w="305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  <w:lang w:val="zh-CN" w:eastAsia="zh-CN"/>
              </w:rPr>
              <w:t>数据集与单位</w:t>
            </w:r>
          </w:p>
        </w:tc>
        <w:tc>
          <w:tcPr>
            <w:tcW w:type="dxa" w:w="234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  <w:lang w:val="zh-CN" w:eastAsia="zh-CN"/>
              </w:rPr>
              <w:t>随机森林</w:t>
            </w:r>
          </w:p>
        </w:tc>
        <w:tc>
          <w:tcPr>
            <w:tcW w:type="dxa" w:w="234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  <w:lang w:val="zh-CN" w:eastAsia="zh-CN"/>
              </w:rPr>
              <w:t>核岭回归</w:t>
            </w:r>
          </w:p>
        </w:tc>
        <w:tc>
          <w:tcPr>
            <w:tcW w:type="dxa" w:w="236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  <w:lang w:val="zh-CN" w:eastAsia="zh-CN"/>
              </w:rPr>
              <w:t>图卷积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19"/>
                <w:lang w:val="zh-CN" w:eastAsia="zh-CN"/>
              </w:rPr>
              <w:t>ESOL，log10(mol/L)</w:t>
            </w:r>
          </w:p>
        </w:tc>
        <w:tc>
          <w:tcPr>
            <w:tcW w:type="dxa" w:w="234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19"/>
                <w:lang w:val="zh-CN" w:eastAsia="zh-CN"/>
              </w:rPr>
              <w:t>1.190 ± 0.159</w:t>
            </w:r>
          </w:p>
        </w:tc>
        <w:tc>
          <w:tcPr>
            <w:tcW w:type="dxa" w:w="234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19"/>
                <w:lang w:val="zh-CN" w:eastAsia="zh-CN"/>
              </w:rPr>
              <w:t>1.485 ± 0.119</w:t>
            </w:r>
          </w:p>
        </w:tc>
        <w:tc>
          <w:tcPr>
            <w:tcW w:type="dxa" w:w="236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19"/>
                <w:lang w:val="zh-CN" w:eastAsia="zh-CN"/>
              </w:rPr>
              <w:t>1.046 ± 0.106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19"/>
                <w:lang w:val="zh-CN" w:eastAsia="zh-CN"/>
              </w:rPr>
              <w:t>FreeSolv，kcal/mol</w:t>
            </w:r>
          </w:p>
        </w:tc>
        <w:tc>
          <w:tcPr>
            <w:tcW w:type="dxa" w:w="234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19"/>
                <w:lang w:val="zh-CN" w:eastAsia="zh-CN"/>
              </w:rPr>
              <w:t>2.061 ± 0.664</w:t>
            </w:r>
          </w:p>
        </w:tc>
        <w:tc>
          <w:tcPr>
            <w:tcW w:type="dxa" w:w="234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19"/>
                <w:lang w:val="zh-CN" w:eastAsia="zh-CN"/>
              </w:rPr>
              <w:t>1.999 ± 0.410</w:t>
            </w:r>
          </w:p>
        </w:tc>
        <w:tc>
          <w:tcPr>
            <w:tcW w:type="dxa" w:w="236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19"/>
                <w:lang w:val="zh-CN" w:eastAsia="zh-CN"/>
              </w:rPr>
              <w:t>2.151 ± 0.232</w:t>
            </w:r>
          </w:p>
        </w:tc>
      </w:tr>
      <w:tr>
        <w:trPr>
          <w:cantSplit/>
        </w:trPr>
        <w:tc>
          <w:tcPr>
            <w:tcW w:type="dxa" w:w="305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19"/>
                <w:lang w:val="zh-CN" w:eastAsia="zh-CN"/>
              </w:rPr>
              <w:t>Lipophilicity，logD</w:t>
            </w:r>
          </w:p>
        </w:tc>
        <w:tc>
          <w:tcPr>
            <w:tcW w:type="dxa" w:w="234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19"/>
                <w:lang w:val="zh-CN" w:eastAsia="zh-CN"/>
              </w:rPr>
              <w:t>0.838 ± 0.011</w:t>
            </w:r>
          </w:p>
        </w:tc>
        <w:tc>
          <w:tcPr>
            <w:tcW w:type="dxa" w:w="2347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19"/>
                <w:lang w:val="zh-CN" w:eastAsia="zh-CN"/>
              </w:rPr>
              <w:t>0.835 ± 0.016</w:t>
            </w:r>
          </w:p>
        </w:tc>
        <w:tc>
          <w:tcPr>
            <w:tcW w:type="dxa" w:w="2362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19"/>
                <w:lang w:val="zh-CN" w:eastAsia="zh-CN"/>
              </w:rPr>
              <w:t>0.704 ± 0.016</w:t>
            </w:r>
          </w:p>
        </w:tc>
      </w:tr>
    </w:tbl>
    <w:p>
      <w:pPr>
        <w:spacing w:after="60" w:before="0" w:line="60" w:lineRule="exact"/>
      </w:pPr>
    </w:p>
    <w:p>
      <w:pPr>
        <w:keepNext/>
        <w:spacing w:before="1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19088" cy="3133126"/>
            <wp:docPr id="4" name="Picture 4" descr="从已核验 CSV 直接绘制的实测结果。各面板量程和单位不同，误差线不是置信区间。" title="图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mse-real-da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9088" cy="313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20"/>
      </w:pPr>
      <w:r>
        <w:rPr>
          <w:rFonts w:ascii="Microsoft YaHei" w:hAnsi="Microsoft YaHei" w:eastAsia="Microsoft YaHei" w:cs="Microsoft YaHei"/>
          <w:b w:val="0"/>
          <w:color w:val="526579"/>
          <w:sz w:val="18"/>
          <w:lang w:val="zh-CN" w:eastAsia="zh-CN"/>
        </w:rPr>
        <w:t>图 4  从已核验 CSV 直接绘制的实测结果。各面板量程和单位不同，误差线不是置信区间。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图卷积在 ESOL 和 Lipophilicity 上的平均误差较低，但在 FreeSolv 上没有超过另外两个学习模型。这里不作统计显著性判断，也不能把三行结果概括成“深度学习全面领先”。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测试中还发现了一个比模型排名更基础的问题：使用的 DeepChem 默认 FreeSolv 压缩文件，其目标值已经做过全数据标准化。如果直接把该尺度下的误差标成 kcal/mol，就会出现约 3.845 倍的虚假改善。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我们核对了原始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SAMPL.csv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 中的物理单位数据，修正读取方式，只用训练集拟合标准化参数，然后重跑受影响实验。错误批次保留，但不计入最终结果。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此外，ESOL 存在 11 条重复结构记录，三个随机种子对应的训练集与测试集结构交集分别为 2、2、0，不能宣称完全消除了结构重叠。补充的骨架划分使用同一份确定性分区，三个种子只改变模型随机性，也不是三折交叉验证。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这些限制保留在报告和 PPT 里。否则，文件越好看，越容易让读者忽略真正影响结论的条件。</w:t>
      </w:r>
    </w:p>
    <w:p>
      <w:pPr>
        <w:pStyle w:val="Heading1"/>
      </w:pPr>
      <w:r>
        <w:rPr>
          <w:rFonts w:ascii="Microsoft YaHei" w:hAnsi="Microsoft YaHei" w:eastAsia="Microsoft YaHei" w:cs="Microsoft YaHei"/>
          <w:color w:val="000000"/>
          <w:lang w:val="zh-CN" w:eastAsia="zh-CN"/>
        </w:rPr>
        <w:t>6 实测结论与适用范围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088"/>
        <w:gridCol w:w="3888"/>
        <w:gridCol w:w="4133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lang w:val="zh-CN" w:eastAsia="zh-CN"/>
              </w:rPr>
              <w:t>验收对象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lang w:val="zh-CN" w:eastAsia="zh-CN"/>
              </w:rPr>
              <w:t>结果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244B65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color w:val="FFFFFF"/>
                <w:sz w:val="20"/>
                <w:lang w:val="zh-CN" w:eastAsia="zh-CN"/>
              </w:rPr>
              <w:t>不能据此推导的结论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Paper2Agent 阅读包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严格验证通过，带限制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已完整复现论文或交付 MCP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科学实验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48 次真实运行完成并核验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已还原原论文全部实验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Paper2Any 大纲与修订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通过组件级测试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后续每页都能成功生成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Paper2Any 模型页面生成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失败，保留截断与模板替代记录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HTTP 200 等于成品成功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Paper2Any 原生导出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14 页成功，附打包修复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全自动模型链路已恢复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Pi GUI 长会话刷新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测试中发现失败</w:t>
            </w:r>
          </w:p>
        </w:tc>
        <w:tc>
          <w:tcPr>
            <w:tcW w:type="dxa" w:w="4133"/>
            <w:vAlign w:val="center"/>
            <w:tcMar>
              <w:top w:w="90" w:type="dxa"/>
              <w:bottom w:w="90" w:type="dxa"/>
              <w:left w:w="110" w:type="dxa"/>
              <w:right w:w="110" w:type="dxa"/>
            </w:tcMar>
            <w:shd w:fill="F2F6F8"/>
          </w:tcPr>
          <w:p>
            <w:pPr>
              <w:spacing w:after="20" w:line="293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color w:val="172534"/>
                <w:sz w:val="20"/>
                <w:lang w:val="zh-CN" w:eastAsia="zh-CN"/>
              </w:rPr>
              <w:t>长任务稳定性已全面通过</w:t>
            </w:r>
          </w:p>
        </w:tc>
      </w:tr>
    </w:tbl>
    <w:p>
      <w:pPr>
        <w:spacing w:after="60" w:before="0" w:line="60" w:lineRule="exact"/>
      </w:pP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本次复现只覆盖三个数据集和四类模型，没有覆盖原论文全部 17 个数据集、全部算法、原始软件环境、精确分区及超参数搜索。它不构成药物有效性、靶点有效性或湿实验验证。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对这两个项目，我愿意给出一个范围明确的评价：Paper2Agent 的阅读包流程让来源、转换和审查结果更容易被检查；Paper2Any 的部分生成组件和原生导出器有实际可用价值，但本次模型制片链路仍有失败。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把这些阶段分开记录，比一句“从论文到 PPT 一键完成”更能帮助下一位使用者判断：自己需要哪一段能力，又必须在哪一步亲自核对结果。</w:t>
      </w:r>
    </w:p>
    <w:p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测试版本：Paper2Agent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8c2d059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；Paper2Any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b538531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 xml:space="preserve">；Pi </w:t>
      </w:r>
      <w:r>
        <w:rPr>
          <w:rFonts w:ascii="Consolas" w:hAnsi="Consolas" w:eastAsia="Microsoft YaHei" w:cs="Microsoft YaHei"/>
          <w:b w:val="0"/>
          <w:color w:val="172534"/>
          <w:lang w:val="zh-CN" w:eastAsia="zh-CN"/>
        </w:rPr>
        <w:t>0.85.1</w:t>
      </w:r>
      <w:r>
        <w:rPr>
          <w:rFonts w:ascii="Microsoft YaHei" w:hAnsi="Microsoft YaHei" w:eastAsia="Microsoft YaHei" w:cs="Microsoft YaHei"/>
          <w:b w:val="0"/>
          <w:color w:val="172534"/>
          <w:lang w:val="zh-CN" w:eastAsia="zh-CN"/>
        </w:rPr>
        <w:t>。测试平台为 Windows。本文依据 2026 年 9 月 18—19 日保存的运行、接口与文件验收记录；未完成 macOS、完整 Paper2MCP、Paper2Any 全量多模态工作流或 Microsoft PowerPoint 桌面应用验收。</w:t>
      </w:r>
    </w:p>
    <w:sectPr w:rsidR="00FC693F" w:rsidRPr="0006063C" w:rsidSect="00034616">
      <w:footerReference w:type="default" r:id="rId9"/>
      <w:pgSz w:w="12240" w:h="15840"/>
      <w:pgMar w:top="936" w:right="1066" w:bottom="936" w:left="1066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5F6F7A"/>
        <w:sz w:val="18"/>
        <w:lang w:val="zh-CN" w:eastAsia="zh-CN"/>
      </w:rPr>
      <w:t xml:space="preserve">Stella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322" w:lineRule="auto"/>
      <w:wordWrap w:val="0"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="Microsoft YaHei" w:hAnsi="Microsoft YaHei" w:eastAsia="Microsoft YaHei" w:cs="Microsoft YaHei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="Microsoft YaHei" w:hAnsi="Microsoft YaHei" w:eastAsia="Microsoft YaHei" w:cs="Microsoft YaHei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="Microsoft YaHei" w:hAnsi="Microsoft YaHei" w:eastAsia="Microsoft YaHei" w:cs="Microsoft YaHei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="Microsoft YaHei" w:hAnsi="Microsoft YaHei" w:eastAsia="Microsoft YaHei" w:cs="Microsoft YaHei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20"/>
    </w:pPr>
    <w:rPr>
      <w:rFonts w:ascii="Microsoft YaHei" w:hAnsi="Microsoft YaHei" w:eastAsia="Microsoft YaHei" w:cs="Microsoft YaHei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8" w:lineRule="auto" w:after="220"/>
    </w:pPr>
    <w:rPr>
      <w:rFonts w:ascii="Microsoft YaHei" w:hAnsi="Microsoft YaHei" w:eastAsia="Microsoft YaHei" w:cs="Microsoft YaHei"/>
      <w:b w:val="0"/>
      <w:bCs/>
      <w:i w:val="0"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ticleCode">
    <w:name w:val="Article Code"/>
    <w:pPr>
      <w:widowControl/>
      <w:spacing w:before="0" w:after="30" w:line="264" w:lineRule="auto"/>
      <w:ind w:left="173" w:right="115"/>
      <w:wordWrap w:val="1"/>
    </w:pPr>
    <w:rPr>
      <w:rFonts w:ascii="Consolas" w:hAnsi="Consolas" w:eastAsia="Microsoft YaHei" w:cs="Microsoft YaHei"/>
      <w:b w:val="0"/>
      <w:i w:val="0"/>
      <w:color w:val="00000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earendil-works/pi/blob/main/packages/coding-agent/docs/skills.md" TargetMode="External"/><Relationship Id="rId12" Type="http://schemas.openxmlformats.org/officeDocument/2006/relationships/hyperlink" Target="https://github.com/jmiao24/Paper2Agent/blob/8c2d059165ef8cdcb70dbea76655b9c2b55b38e6/skills/paper2agent/SKILL.md" TargetMode="External"/><Relationship Id="rId13" Type="http://schemas.openxmlformats.org/officeDocument/2006/relationships/hyperlink" Target="https://github.com/OpenDCAI/Paper2Any/blob/b538531e25798d9b9d41afd5fa93c9222949b5a5/README.md" TargetMode="External"/><Relationship Id="rId14" Type="http://schemas.openxmlformats.org/officeDocument/2006/relationships/hyperlink" Target="https://pubmed.ncbi.nlm.nih.gov/29629118/" TargetMode="External"/><Relationship Id="rId15" Type="http://schemas.openxmlformats.org/officeDocument/2006/relationships/hyperlink" Target="https://github.com/jmiao24/Paper2Agent/blob/8c2d059165ef8cdcb70dbea76655b9c2b55b38e6/skills/paper2agent/paper2skill/SKILL.md" TargetMode="Externa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Paper2Agent 与 Paper2Any 实测</dc:title>
  <dc:subject>论文阅读包 科学实验与演示文稿生成</dc:subject>
  <dc:creator>Stella</dc:creator>
  <cp:keywords>Paper2Agent, Paper2Any, Pi GUI, MoleculeNet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