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Title"/>
        <w:jc w:val="left"/>
      </w:pPr>
      <w:r>
        <w:rPr>
          <w:rFonts w:ascii="宋体" w:hAnsi="宋体" w:eastAsia="宋体"/>
        </w:rPr>
        <w:t>新品成本核算与双渠道定价决策</w:t>
      </w:r>
    </w:p>
    <w:p>
      <w:pPr>
        <w:pStyle w:val="Heading1"/>
        <w:jc w:val="left"/>
      </w:pPr>
      <w:r>
        <w:rPr>
          <w:rFonts w:ascii="宋体" w:hAnsi="宋体" w:eastAsia="宋体"/>
        </w:rPr>
        <w:t>一、编号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G6-ZX-005（v1）。</w:t>
      </w:r>
    </w:p>
    <w:p>
      <w:pPr>
        <w:pStyle w:val="Heading1"/>
        <w:jc w:val="left"/>
      </w:pPr>
      <w:r>
        <w:rPr>
          <w:rFonts w:ascii="宋体" w:hAnsi="宋体" w:eastAsia="宋体"/>
        </w:rPr>
        <w:t>二、任务背景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麦淳餐饮管理有限公司是一家连锁烘焙、饮品与轻食品牌，2026年3月计划推出6款春季新品，涵盖烘焙、饮品、轻食品类。研发部已提交BOM配方，采购部提供原料采购价目表及三轮涨价记录，运营部提供价格带、竞品价格与历史价格弹性，财务部提供包装成本、外卖佣金规则和毛利率红线。现受财务总监与运营总监委托，以成本核算岗身份，完成6款新品的标准成本核算、双渠道毛利率测算、促销底线价反推、上新与下架建议、原料涨价传导分析和价格弹性销量预测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数据截止日为2026年2月28日，计划上市日为2026年3月1日。标准成本须按第3轮最新采购价计算，含门店操作损耗；堂食毛利率红线65%、外卖毛利率红线55%，双渠道均达标方可上新；外卖佣金自2026年3月起由18%上调至20%。所有结论须可回溯到附件逐条记录，不得只给汇总数。</w:t>
      </w:r>
    </w:p>
    <w:p>
      <w:pPr>
        <w:pStyle w:val="Heading1"/>
        <w:jc w:val="left"/>
      </w:pPr>
      <w:r>
        <w:rPr>
          <w:rFonts w:ascii="宋体" w:hAnsi="宋体" w:eastAsia="宋体"/>
        </w:rPr>
        <w:t>三、任务分解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本项委托按八轮执行，每轮只完成一个任务，并只提交当轮对应交付包。上一轮自检通过后，方可进入下一轮；未完成或自检不通过，不得进入下一轮，也不得提前输出后续轮次结果。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1轮为标准成本卡。按BOM配方、第3轮采购价和出成率，计算6款新品的单份食材成本、门店损耗、堂食与外卖包装成本。本轮只输出01标准成本卡.rar。本轮自检要求6款SKU均有完整BOM成本明细，单位换算正确，出成率已计入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第2轮为双渠道毛利率。按堂食和外卖两种渠道，分别计算6款新品的毛利额和毛利率，对照红线判定是否达标。本轮只输出02双渠道毛利率.rar。本轮自检要求6款SKU堂食与外卖毛利率均有计算，红线判定准确。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第3轮为定价与促销底线。按促销后毛利率不低于红线90%的要求，反推堂食与外卖促销底线价，计算最大促销空间。本轮只输出03定价与促销底线.rar。本轮自检要求6款SKU均有底线价，底线毛利率为58.5%和49.5%。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第4轮为上新与下架建议。按双渠道达标情况，给出上新、改配方、下架三类结论及理由。本轮只输出04上新与下架建议.rar。本轮自检要求6款SKU均有结论，双达标上新、单达标改配方、双不达标下架。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第5轮为涨价传导分析。对比第1轮与第3轮食材成本，计算各SKU成本上涨金额与涨幅，列出主要涨价原料。本轮只输出05涨价传导分析.rar。本轮自检要求6款SKU均有涨价传导，13种涨价原料明细完整。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第6轮为弹性与销量预测。按品类价格弹性，测算建议售价下的基础销量和降价10%促销后的销量与收入。本轮只输出06弹性与销量预测.rar。本轮自检要求6款SKU均有弹性系数、促销价和预测销量。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第7轮为风险与退出机制。列出10项风险、量化触发阈值、应对措施和退出动作。本轮只输出07风险与退出机制.rar。本轮自检要求10项风险均有阈值，6类退出机制均有回收与损失处理。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第8轮为勾稽与结论。驳回管理层12项错误要求，完成勾稽自检并给出核心结论。本轮只输出08勾稽与结论.rar。本轮自检要求勾稽全部闭合、不一致项为0；未闭合不得出具结论。</w:t>
      </w:r>
    </w:p>
    <w:p>
      <w:pPr>
        <w:pStyle w:val="Heading1"/>
        <w:jc w:val="left"/>
      </w:pPr>
      <w:r>
        <w:rPr>
          <w:rFonts w:ascii="宋体" w:hAnsi="宋体" w:eastAsia="宋体"/>
        </w:rPr>
        <w:t>四、输入附件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输入附件共8包。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01新品清单与BOM配方.rar，包含新品清单、BOM配方。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02原料采购价目表.rar，包含原料采购价目表。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03原料涨价记录.rar，包含原料涨价记录。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04包装与外卖规则.rar，包含包装成本、外卖佣金与活动规则。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05价格带与弹性.rar，包含价格带、价格弹性。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06门店损耗与工序.rar，包含门店操作损耗、中央厨房工序。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07财务确认规则.rar，包含财务确认规则。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08管理层要求.rar，包含管理层要求。</w:t>
      </w:r>
    </w:p>
    <w:p>
      <w:pPr>
        <w:pStyle w:val="Heading1"/>
        <w:jc w:val="left"/>
      </w:pPr>
      <w:r>
        <w:rPr>
          <w:rFonts w:ascii="宋体" w:hAnsi="宋体" w:eastAsia="宋体"/>
        </w:rPr>
        <w:t>五、制度与判断规则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6款新品分为烘焙、饮品、轻食三个品类，各品类有独立的门店操作损耗率（烘焙4%、饮品2%、轻食5%）和价格弹性系数（烘焙-0.8、饮品-1.2、轻食-0.6）。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单份食材成本等于Σ（单耗÷出成率×采购单价），单位换算规则为g转kg除以1000、ml转L除以1000、个按个计。出成率为原料加工后可用部分比例，单耗须除以出成率，不得按100%计算。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标准成本按第3轮最新采购价计算，第3轮单价等于第1轮单价乘（1+第2轮涨幅）乘（1+第3轮涨幅）。未列入涨价记录的原料按采购价目表单价计算。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门店操作损耗须计入食材成本，含损耗食材成本等于食材成本乘（1+品类损耗率）。中央厨房到门店的半成品结转按工序结转，不得重复计料。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包装成本按品类与渠道区分：烘焙堂食0.30元、外卖0.80元；饮品堂食0.50元、外卖1.20元；轻食堂食0.10元、外卖1.50元。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堂食毛利等于堂食售价减食材成本（含损耗）减堂食包装成本，堂食毛利率等于堂食毛利除以堂食售价。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外卖毛利等于外卖售价减食材成本（含损耗）减外卖包装减外卖佣金减配送费加平台补贴减退款。外卖佣金按外卖售价的20%计提，配送费4%、退款2%、平台补贴3%，均按外卖售价计提。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毛利率红线：堂食不低于65%、外卖不低于55%，双渠道均达标方可上新；单渠道不达标须优化配方或调整包装；双渠道均不达标下架。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促销底线：促销后毛利率不得低于红线的90%，即堂食不低于58.5%、外卖不低于49.5%。促销底线价按底线毛利率反推，低于底线的促销须审批。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价格弹性用于销量预测：促销降价10%时，销量变化率等于弹性系数乘（-10%）。基础日均销量为建议售价下的预测销量。</w:t>
      </w:r>
    </w:p>
    <w:p>
      <w:pPr>
        <w:pStyle w:val="Heading1"/>
        <w:jc w:val="left"/>
      </w:pPr>
      <w:r>
        <w:rPr>
          <w:rFonts w:ascii="宋体" w:hAnsi="宋体" w:eastAsia="宋体"/>
        </w:rPr>
        <w:t>六、交付物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01 标准成本卡.rar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02 双渠道毛利率.rar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03 定价与促销底线.rar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04 上新与下架建议.rar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05 涨价传导分析.rar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06 弹性与销量预测.rar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07 风险与退出机制.rar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08 勾稽与结论.rar</w:t>
      </w:r>
    </w:p>
    <w:p>
      <w:pPr>
        <w:pStyle w:val="Heading1"/>
        <w:jc w:val="left"/>
      </w:pPr>
      <w:r>
        <w:rPr>
          <w:rFonts w:ascii="宋体" w:hAnsi="宋体" w:eastAsia="宋体"/>
        </w:rPr>
        <w:t>七、约束条件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1. 仅使用附件材料，不得引入外部数据，不得联网检索。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2. 金额以元列示并保留两位小数，比例保留两位小数，不得混用单位。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3. 逐SKU给出结论，不得抽样或估算；每条记录必须有明确状态，不得留空。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4. 6款新品编号唯一，烘焙3款、饮品2款、轻食1款，不得跨品类重复计入。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5. 标准成本按第3轮采购价计算，不得使用第1轮或第2轮价格。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6. 单耗须除以出成率，出成率不得按100%简化计算。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7. 单位换算：g转kg除以1000，ml转L除以1000，个按个计。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8. 门店操作损耗须计入食材成本，烘焙4%、饮品2%、轻食5%。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9. 包装成本按品类与渠道区分，不得忽略或统一取值。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10. 外卖佣金按外卖售价的20%计提，不得按原18%或堂食售价计提。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11. 外卖毛利须扣配送费4%、退款2%，加平台补贴3%，不得只扣佣金。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12. 堂食毛利率红线65%、外卖55%，双渠道均达标方可上新。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13. 促销后毛利率不得低于红线的90%，堂食58.5%、外卖49.5%。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14. 促销底线价按底线毛利率反推，低于底线的促销须审批。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15. 半成品结转按工序结转，不得重复计料或遗漏。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16. 价格弹性按品类区分，烘焙-0.8、饮品-1.2、轻食-0.6，不得统一按-1.0。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17. 双渠道均不达标须下架，不得直接降价促销。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18. 必须列出10项风险和6类退出机制，每项风险须有量化触发阈值。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19. 勾稽全部闭合后方可出具核心结论；任一项不闭合视为未完成。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20. 必须按八轮顺序逐轮交付，每轮只完成一个任务，不得一次性输出全部结果。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21. 每轮结束必须提交本轮自检记录，列明检查项、结果、证据和未通过原因；上一轮未通过不得进入下一轮。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22. 每轮只提交当轮对应交付包，不得跨轮合并或提前输出；任何一轮无法完成时必须停止并说明缺口；八轮全部通过方视为完成。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23. 管理层12项错误要求须逐条驳回并说明理由，不得采纳。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24. 所有定价与促销建议必须有明确触发条件与审批流程，不得只给方向性意见。</w:t>
      </w:r>
    </w:p>
    <w:p>
      <w:pPr>
        <w:pStyle w:val="Heading1"/>
        <w:jc w:val="left"/>
      </w:pPr>
      <w:r>
        <w:rPr>
          <w:rFonts w:ascii="宋体" w:hAnsi="宋体" w:eastAsia="宋体"/>
        </w:rPr>
        <w:t>八、完成标准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八轮任务逐轮完成且逐轮自检通过。6款新品中上2款（N03、N05）、改配方2款（N01、N06）、下架2款（N02、N04）；堂食达标4款、外卖达标2款；标准成本按第3轮采购价计算，含门店损耗；促销底线价已反推；20项勾稽全部闭合、不一致项为0。任一轮未完成或自检不通过，不得进入下一轮，整体不得视为完成。</w:t>
      </w:r>
    </w:p>
    <w:p>
      <w:pPr>
        <w:pStyle w:val="Heading1"/>
        <w:jc w:val="left"/>
      </w:pPr>
      <w:r>
        <w:rPr>
          <w:rFonts w:ascii="宋体" w:hAnsi="宋体" w:eastAsia="宋体"/>
        </w:rPr>
        <w:t>九、考点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考点按数据治理、BOM与成本、出成率与损耗、包装成本、外卖佣金、双渠道毛利、促销底线、上新判定、涨价传导、价格弹性、风险退出、勾稽结论十二组展开，共50项。</w:t>
      </w:r>
    </w:p>
    <w:p>
      <w:pPr>
        <w:pStyle w:val="Heading2"/>
        <w:jc w:val="left"/>
      </w:pPr>
      <w:r>
        <w:rPr>
          <w:rFonts w:ascii="宋体" w:hAnsi="宋体" w:eastAsia="宋体"/>
        </w:rPr>
        <w:t>（一）数据治理与新品清单（考点1—5）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考点1：新品共6款，烘焙3款（N01、N02、N05）、饮品2款（N03、N06）、轻食1款（N04），编号唯一。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考点2：BOM配方共35行，覆盖6款SKU的全部原料单耗与出成率。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考点3：原料采购价目表共26种原料，含规格、采购单价、单位、供应商。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考点4：原料涨价记录共13种，含第1轮单价、第2轮涨幅、第3轮涨幅。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考点5：计划上市日为2026年3月1日，数据截止日为2026年2月28日。</w:t>
      </w:r>
    </w:p>
    <w:p>
      <w:pPr>
        <w:pStyle w:val="Heading2"/>
        <w:jc w:val="left"/>
      </w:pPr>
      <w:r>
        <w:rPr>
          <w:rFonts w:ascii="宋体" w:hAnsi="宋体" w:eastAsia="宋体"/>
        </w:rPr>
        <w:t>（二）BOM与标准成本（考点6—10）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考点6：单份食材成本等于Σ（单耗÷出成率×采购单价）。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考点7：单位换算规则为g转kg除以1000、ml转L除以1000、个按个计。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考点8：标准成本按第3轮采购价计算，第3轮单价等于第1轮乘（1+第2轮涨幅）乘（1+第3轮涨幅）。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考点9：未列入涨价记录的原料按采购价目表单价计算。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考点10：BOM成本明细须逐原料列出单耗、出成率、第3轮单价和成本。</w:t>
      </w:r>
    </w:p>
    <w:p>
      <w:pPr>
        <w:pStyle w:val="Heading2"/>
        <w:jc w:val="left"/>
      </w:pPr>
      <w:r>
        <w:rPr>
          <w:rFonts w:ascii="宋体" w:hAnsi="宋体" w:eastAsia="宋体"/>
        </w:rPr>
        <w:t>（三）出成率与门店损耗（考点11—15）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考点11：出成率为原料加工后可用部分比例，单耗须除以出成率。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考点12：红豆出成率0.85、芋头0.80、鸡胸肉0.85、牛油果0.75、芒果0.60、西柚0.50。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考点13：门店操作损耗须计入食材成本，烘焙4%、饮品2%、轻食5%。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考点14：含损耗食材成本等于食材成本乘（1+品类损耗率）。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考点15：中央厨房到门店的半成品结转按工序结转，不得重复计料。</w:t>
      </w:r>
    </w:p>
    <w:p>
      <w:pPr>
        <w:pStyle w:val="Heading2"/>
        <w:jc w:val="left"/>
      </w:pPr>
      <w:r>
        <w:rPr>
          <w:rFonts w:ascii="宋体" w:hAnsi="宋体" w:eastAsia="宋体"/>
        </w:rPr>
        <w:t>（四）包装成本（考点16—18）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考点16：包装成本按品类与渠道区分，共6类。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考点17：烘焙堂食0.30元、外卖0.80元；饮品堂食0.50元、外卖1.20元；轻食堂食0.10元、外卖1.50元。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考点18：堂食毛利减堂食包装，外卖毛利减外卖包装，不得混用。</w:t>
      </w:r>
    </w:p>
    <w:p>
      <w:pPr>
        <w:pStyle w:val="Heading2"/>
        <w:jc w:val="left"/>
      </w:pPr>
      <w:r>
        <w:rPr>
          <w:rFonts w:ascii="宋体" w:hAnsi="宋体" w:eastAsia="宋体"/>
        </w:rPr>
        <w:t>（五）外卖佣金与补贴（考点19—23）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考点19：外卖佣金自2026年3月起由18%上调至20%，按外卖售价计提。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考点20：配送费按外卖售价的4%由门店承担。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考点21：平台补贴按外卖售价的3%计入外卖GMV。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考点22：退款率按外卖售价的2%冲减收入。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考点23：外卖毛利等于售价减食材减外卖包装减佣金减配送加补贴减退款。</w:t>
      </w:r>
    </w:p>
    <w:p>
      <w:pPr>
        <w:pStyle w:val="Heading2"/>
        <w:jc w:val="left"/>
      </w:pPr>
      <w:r>
        <w:rPr>
          <w:rFonts w:ascii="宋体" w:hAnsi="宋体" w:eastAsia="宋体"/>
        </w:rPr>
        <w:t>（六）双渠道毛利率（考点24—28）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考点24：堂食毛利等于售价减食材（含损耗）减堂食包装。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考点25：堂食毛利率等于堂食毛利除以堂食售价。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考点26：外卖毛利率等于外卖毛利除以外卖售价。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考点27：堂食毛利率红线65%、外卖55%，双渠道均达标方可上新。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考点28：堂食达标4款、外卖达标2款。</w:t>
      </w:r>
    </w:p>
    <w:p>
      <w:pPr>
        <w:pStyle w:val="Heading2"/>
        <w:jc w:val="left"/>
      </w:pPr>
      <w:r>
        <w:rPr>
          <w:rFonts w:ascii="宋体" w:hAnsi="宋体" w:eastAsia="宋体"/>
        </w:rPr>
        <w:t>（七）促销底线（考点29—32）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考点29：促销后毛利率不得低于红线的90%，堂食58.5%、外卖49.5%。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考点30：促销底线价按底线毛利率反推，堂食底线价等于（食材+堂食包装）除以（1-58.5%）。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考点31：外卖底线价等于（食材+外卖包装）除以（1-佣金-配送+补贴-退款-49.5%）。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考点32：最大促销空间等于建议售价减促销底线价。</w:t>
      </w:r>
    </w:p>
    <w:p>
      <w:pPr>
        <w:pStyle w:val="Heading2"/>
        <w:jc w:val="left"/>
      </w:pPr>
      <w:r>
        <w:rPr>
          <w:rFonts w:ascii="宋体" w:hAnsi="宋体" w:eastAsia="宋体"/>
        </w:rPr>
        <w:t>（八）上新判定（考点33—36）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考点33：双渠道均达标判定为上新。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考点34：单渠道不达标判定为改配方，须优化配方或调整包装。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考点35：双渠道均不达标判定为下架，不得直接降价促销。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考点36：上新2款（N03、N05）、改配方2款（N01、N06）、下架2款（N02、N04）。</w:t>
      </w:r>
    </w:p>
    <w:p>
      <w:pPr>
        <w:pStyle w:val="Heading2"/>
        <w:jc w:val="left"/>
      </w:pPr>
      <w:r>
        <w:rPr>
          <w:rFonts w:ascii="宋体" w:hAnsi="宋体" w:eastAsia="宋体"/>
        </w:rPr>
        <w:t>（九）涨价传导（考点37—40）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考点37：涨价传导等于第3轮食材成本减第1轮食材成本。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考点38：涨幅等于成本上涨除以第1轮成本。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考点39：主要涨价原料为咸蛋黄、牛油果、芒果、抹茶粉，累计涨幅居前。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考点40：13种涨价原料须逐种列出第1轮单价、第2轮涨幅、第3轮涨幅、第3轮单价和累计涨价。</w:t>
      </w:r>
    </w:p>
    <w:p>
      <w:pPr>
        <w:pStyle w:val="Heading2"/>
        <w:jc w:val="left"/>
      </w:pPr>
      <w:r>
        <w:rPr>
          <w:rFonts w:ascii="宋体" w:hAnsi="宋体" w:eastAsia="宋体"/>
        </w:rPr>
        <w:t>（十）价格弹性（考点41—44）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考点41：价格弹性按品类区分，烘焙-0.8、饮品-1.2、轻食-0.6。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考点42：促销降价10%时，销量变化率等于弹性系数乘（-10%）。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考点43：促销销量等于基础日均销量乘（1+销量变化率）。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考点44：促销收入等于促销价乘促销销量，须与基础收入对比。</w:t>
      </w:r>
    </w:p>
    <w:p>
      <w:pPr>
        <w:pStyle w:val="Heading2"/>
        <w:jc w:val="left"/>
      </w:pPr>
      <w:r>
        <w:rPr>
          <w:rFonts w:ascii="宋体" w:hAnsi="宋体" w:eastAsia="宋体"/>
        </w:rPr>
        <w:t>（十一）风险与退出（考点45—47）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考点45：列出原料持续涨价、外卖佣金上调、出成率低于标准、价格弹性误判、包装成本上涨、竞品降价、食安与品质、促销过度、半成品结转错误、门店操作损耗超标共10项风险。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考点46：每项风险须有量化触发阈值、影响、应对措施和退出动作。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考点47：退出机制含下架、停售整改、临时下架、收缩渠道、停止促销、调整定价共6类，均有回收与损失处理。</w:t>
      </w:r>
    </w:p>
    <w:p>
      <w:pPr>
        <w:pStyle w:val="Heading2"/>
        <w:jc w:val="left"/>
      </w:pPr>
      <w:r>
        <w:rPr>
          <w:rFonts w:ascii="宋体" w:hAnsi="宋体" w:eastAsia="宋体"/>
        </w:rPr>
        <w:t>（十二）勾稽与结论（考点48—50）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考点48：20项勾稽覆盖新品数、BOM行数、原料数、涨价原料数、上新/改配方/下架数、达标数、红线、佣金率、计算公式、取价轮次、出成率、损耗、促销底线，全部闭合。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考点49：管理层12项错误要求须逐条驳回，包括佣金按18%、按第1轮价、出成率100%、忽略包装、只扣佣金、只看堂食、促销不影响毛利、按竞品最低价、忽略损耗、重复计料、弹性统一-1.0、不达标直接降价。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考点50：核心结论为6款新品中2款上新、2款改配方、2款下架，标准成本按第3轮价含损耗，堂食红线65%外卖55%，外卖佣金20%。</w:t>
      </w:r>
    </w:p>
    <w:p>
      <w:pPr>
        <w:pStyle w:val="Heading1"/>
        <w:jc w:val="left"/>
      </w:pPr>
      <w:r>
        <w:rPr>
          <w:rFonts w:ascii="宋体" w:hAnsi="宋体" w:eastAsia="宋体"/>
        </w:rPr>
        <w:t>十、答题思路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第一步是读取新品清单、BOM配方、原料采购价目表和涨价记录，锁定6款SKU及BOM明细。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第二步是按第3轮采购价、出成率和单位换算，逐原料计算BOM成本，汇总为单份食材成本。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第三步是加门店操作损耗，得到含损耗食材成本，并匹配堂食与外卖包装成本。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第四步是按堂食和外卖两种渠道，分别计算毛利额和毛利率，对照65%和55%红线判定达标。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第五步是按促销底线毛利率58.5%和49.5%，反推堂食与外卖促销底线价，计算最大促销空间。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第六步是按双渠道达标情况，给出上新、改配方、下架结论，逐SKU说明理由。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第七步是对比第1轮与第3轮食材成本，计算涨价传导金额与涨幅，列出主要涨价原料。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第八步是按品类价格弹性，测算降价10%促销后的销量与收入变化。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第九步是完成10项风险、6类退出机制、12项错误要求驳回和勾稽自检，最后给出核心结论。</w:t>
      </w:r>
    </w:p>
    <w:p>
      <w:pPr>
        <w:pStyle w:val="Heading1"/>
        <w:jc w:val="left"/>
      </w:pPr>
      <w:r>
        <w:rPr>
          <w:rFonts w:ascii="宋体" w:hAnsi="宋体" w:eastAsia="宋体"/>
        </w:rPr>
        <w:t>十一、标准答案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标准答案共8个包，首表为成本定价结论，逐包覆盖标准成本卡、双渠道毛利率、定价与促销底线、上新与下架建议、涨价传导、弹性预测、风险退出和勾稽结论。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/>
          <w:sz w:val="21"/>
        </w:rPr>
        <w:t>6款新品中2款上新（N03、N05）、2款改配方（N01、N06）、2款下架（N02、N04）；标准成本按第3轮采购价计算，含门店损耗；堂食毛利率红线65%、外卖55%，促销底线为红线的90%；外卖佣金按20%计提。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上新2款（N03、N05），堂食与外卖毛利率均达标；改配方2款（N01、N06），单渠道不达标需优化；下架2款（N02、N04），双渠道均不达标。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标准成本按第3轮采购价计算，主要原料累计涨幅5%-35%，咸蛋黄、牛油果、芒果涨幅居前；食材成本含门店操作损耗（烘焙4%、饮品2%、轻食5%）。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外卖佣金按20%计提，另加配送费4%、退款2%，平台补贴3%；外卖毛利率须≥55%，促销底线49.5%。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促销底线价按底线毛利率反推，堂食促销后毛利率不低于58.5%、外卖不低于49.5%，低于底线的促销须审批。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关键结果：6款新品中上2款（N03、N05）、改配方2款（N01、N06）、下架2款（N02、N04）；堂食达标4款、外卖达标2款；20项勾稽全部闭合，不一致项为0。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麦淳餐饮管理有限公司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运营分析部</dc:creator>
  <cp:lastModifiedBy>运营分析部</cp:lastModifiedBy>
  <dcterms:created xsi:type="dcterms:W3CDTF">2026-03-01T02:00:00Z</dcterms:created>
  <dcterms:modified xsi:type="dcterms:W3CDTF">2026-03-06T01:00:00Z</dcterms:modified>
</cp:coreProperties>
</file>