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Title"/>
        <w:jc w:val="left"/>
      </w:pPr>
      <w:r>
        <w:rPr>
          <w:rFonts w:ascii="宋体" w:hAnsi="宋体" w:eastAsia="宋体"/>
        </w:rPr>
        <w:t>连锁品牌新区域扩张的选址与单店投资决策</w:t>
      </w:r>
    </w:p>
    <w:p>
      <w:pPr>
        <w:pStyle w:val="Heading1"/>
        <w:jc w:val="left"/>
      </w:pPr>
      <w:r>
        <w:rPr>
          <w:rFonts w:ascii="宋体" w:hAnsi="宋体" w:eastAsia="宋体"/>
        </w:rPr>
        <w:t>一、编号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G6-ZX-003（v1）。</w:t>
      </w:r>
    </w:p>
    <w:p>
      <w:pPr>
        <w:pStyle w:val="Heading1"/>
        <w:jc w:val="left"/>
      </w:pPr>
      <w:r>
        <w:rPr>
          <w:rFonts w:ascii="宋体" w:hAnsi="宋体" w:eastAsia="宋体"/>
        </w:rPr>
        <w:t>二、任务背景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麦淳餐饮管理有限公司是一家连锁烘焙与轻食品牌，现有12家直营门店，集中在苏州、无锡、宁波。2025年10月，公司计划进入杭州、合肥、南昌三个新区域，首批开设8家门店。现受投资委员会委托，以外部战略与投资顾问身份，在18个候选点位中完成首批8店的选址、单店投资测算、直营与加盟模式比较、开业节奏、仓配方案、风险与退出机制设计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数据截止日为2025年9月30日，投资决策基准日为2025年10月1日。所有结论须可回溯到附件逐条记录，不得只给汇总数。凡涉及剔除、备选、退出、不投、转址的记录，必须逐条说明触发条件与依据。</w:t>
      </w:r>
    </w:p>
    <w:p>
      <w:pPr>
        <w:pStyle w:val="Heading1"/>
        <w:jc w:val="left"/>
      </w:pPr>
      <w:r>
        <w:rPr>
          <w:rFonts w:ascii="宋体" w:hAnsi="宋体" w:eastAsia="宋体"/>
        </w:rPr>
        <w:t>三、任务分解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本项委托按八轮执行，每轮只完成一个任务，并只提交当轮对应交付包。上一轮自检通过后，方可进入下一轮；未完成或自检不通过，不得进入下一轮，也不得提前输出后续轮次结果。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1轮为商圈与点位评分。完成18个候选点位的资格筛查、七因子评分和城市内排序，按杭州3家、合肥3家、南昌2家形成首批8店建议。本轮只输出01商圈与点位评分.rar。本轮自检要求18个点位均有评分，权重合计100分，入选8家且城市分布为3/3/2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2轮为单店P&amp;L与投资回收。完成8家门店的建店投资、首年与稳定期收入、五年P&amp;L、回收期、NPV和IRR测算。本轮只输出02单店P&amp;L与投资回收.rar。本轮自检要求8家门店均有逐年P&amp;L，直接门店回收期不超过42个月，加盟门店单列公司口径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第3轮为直营与加盟对比。对8家门店分别测算直营和加盟两种模式的公司现金流与NPV，给出推荐模式与理由。本轮只输出03直营与加盟对比.rar。本轮自检要求直营6家、加盟2家，加盟比例25%，不超过30%上限。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第4轮为首批8店清单与开业节奏。按租约起租日加2个月形成计划开业日，并按季度产能排布。本轮只输出04首批8店清单与开业节奏.rar。本轮自检要求Q1 3家、Q2 3家、Q3 2家，单季不超过3家。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5轮为区域仓配与投资总额。比较杭州、合肥、南昌的自建城市仓、第三方仓配和区域中心仓三种方案，汇总首批总投资。本轮只输出05区域仓配与投资总额.rar。本轮自检要求三城均选出5年成本现值最低方案，总投资不超过1500万元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第6轮为三情景敏感性与回报。完成销售变动±10%与租金变动±5%的9组组合测算。本轮只输出06三情景敏感性与回报.rar。本轮自检要求9组情景齐全，基准情景与第2轮、第5轮结果一致。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第7轮为风险清单与退出机制。列出10项主要风险、量化触发阈值、应对措施和退出动作。本轮只输出07风险清单与退出机制.rar。本轮自检要求10项风险均有阈值，6类退出机制均有回收与损失处理。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第8轮为勾稽自检与投资决策结论。完成24项勾稽并给出一句话核心结论。本轮只输出08勾稽自检与投资决策结论.rar。本轮自检要求24项全部闭合、不一致项为0；未闭合不得出具结论。</w:t>
      </w:r>
    </w:p>
    <w:p>
      <w:pPr>
        <w:pStyle w:val="Heading1"/>
        <w:jc w:val="left"/>
      </w:pPr>
      <w:r>
        <w:rPr>
          <w:rFonts w:ascii="宋体" w:hAnsi="宋体" w:eastAsia="宋体"/>
        </w:rPr>
        <w:t>四、输入附件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输入附件共8包。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01城市与商圈数据.rar，包含城市基础数据、候选点位清单。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02租约与物业条件.rar，包含租约关键条款。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03销售预测与外卖.rar，包含点位销售预测。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04建店投资与成本.rar，包含建店投资标准、城市投资系数、运营成本参数。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05直营与加盟合同.rar，包含直营管理要求、加盟合同摘要。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06区域仓配与现有门店.rar，包含区域仓配方案、现有门店P&amp;L。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07开业计划与团队.rar，包含开业产能与团队。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08财务口径与管理要求.rar，包含财务确认规则、管理层要求。</w:t>
      </w:r>
    </w:p>
    <w:p>
      <w:pPr>
        <w:pStyle w:val="Heading1"/>
        <w:jc w:val="left"/>
      </w:pPr>
      <w:r>
        <w:rPr>
          <w:rFonts w:ascii="宋体" w:hAnsi="宋体" w:eastAsia="宋体"/>
        </w:rPr>
        <w:t>五、制度与判断规则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候选点位共18个，杭州、合肥、南昌各6个。点位按商圈日均客流25%、周边竞品数15%、外卖平台月单量15%、租金效率15%、人均可支配收入10%、可见性10%、物业条件10%评分，权重合计100分。各指标在18个点位间做线性归一化，竞品数按反向归一化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租金效率按年化稳定收入除以年租金计算。年化稳定收入为堂食与外卖稳定月收入乘以12。堂食收入为堂食日均单量乘堂食客单价乘30天，外卖收入为外卖日均单量乘外卖客单价乘30天。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首年收入按爬坡计算，前3个月60%、第4至6个月80%、第7个月起100%，等效10.2个满月。第2年起按3%增长。外卖平台佣金仅对外卖收入按18%计提。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建店投资包括装修、厨房与冷藏设备、家具与陈列、POS与信息系统、首批物料、证照与开业、设计与管理费、押金和流动资金。装修按3200元/㎡乘城市系数，设备按55万元乘城市系数，家具11万元，POS 5.5万元，首批物料7.5万元，证照3.5万元，设计费为装修的5%，押金为3个月租金，流动资金23万元。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单店P&amp;L中，食材成本率38%、人工成本率23%、水电能耗费率3%、营销推广费率5%、管理与中央厨房分摊率6%。租金含物业费，首年扣减免租期，之后每年递增5%。折旧按扣除押金与流动资金后的建店投资分5年直线计提。所得税按正税前利润的25%计提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回收期为累计未折现现金流首次转正的月份，超过60个月按“&gt;60个月”列示。NPV按10%折现，期末收回押金与流动资金。IRR按5年现金流计算。直接门店回收期超过42个月须专项审批。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直营模式由公司承担全部建店投资并取得全部收入。加盟模式由加盟商承担85%建店投资，公司收取15万元加盟费、6%持续授权费、18%供应链毛利，承担3%督导培训成本和每店每年8万元固定督导费，公司初期支持投入10万元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每城首店必须直营，首批加盟比例不超过30%。计划开业日按租约起租日加2个月计算，项目组每季最多开业3家。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仓配方案按5年成本现值比较，包含资本支出、年固定成本和按营业收入计提的变动成本。首批总投资包括直营建店投资、加盟支持投入、仓配资本支出和5%预备费，总额不超过1500万元。</w:t>
      </w:r>
    </w:p>
    <w:p>
      <w:pPr>
        <w:pStyle w:val="Heading1"/>
        <w:jc w:val="left"/>
      </w:pPr>
      <w:r>
        <w:rPr>
          <w:rFonts w:ascii="宋体" w:hAnsi="宋体" w:eastAsia="宋体"/>
        </w:rPr>
        <w:t>六、交付物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01 商圈与点位评分.rar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02 单店P&amp;L与投资回收.rar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03 直营与加盟对比.rar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04 首批8店清单与开业节奏.rar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05 区域仓配与投资总额.rar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06 三情景敏感性与回报.rar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07 风险清单与退出机制.rar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08 勾稽自检与投资决策结论.rar</w:t>
      </w:r>
    </w:p>
    <w:p>
      <w:pPr>
        <w:pStyle w:val="Heading1"/>
        <w:jc w:val="left"/>
      </w:pPr>
      <w:r>
        <w:rPr>
          <w:rFonts w:ascii="宋体" w:hAnsi="宋体" w:eastAsia="宋体"/>
        </w:rPr>
        <w:t>七、约束条件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1. 仅使用附件材料，不得引入外部数据，不得联网检索。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2. 对外报表金额以万元列示并保留两位小数，比例保留两位；底层计算以元为单位，不得混用。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3. 逐点位、逐门店、逐城市给出结论，不得抽样或估算；每条记录必须有明确状态，不得留空。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4. 18个候选点位编号唯一，不得跨城市重复计入；三城各6个候选点位。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5. 餐饮条件为“否”或可签年限不足5年的点位，不得进入首批名单，但须保留评分与不符合说明。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6. 评分权重固定为25/15/15/15/10/10/10，合计100分；不得临时增删指标。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7. 所有评分指标在18个点位间做线性归一化，竞品数按反向归一化，不得按城市内部分别归一化。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8. 销售预测必须拆分堂食与外卖，不得用总单量乘单一客单价。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9. 外卖平台佣金只对外卖收入按18%计提，不得对全部收入计提。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10. 建店投资必须包含押金和流动资金，不得只算装修与设备。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11. 单店P&amp;L的食材、人工、水电、营销、管理分摊比例固定，不得逐店调整。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12. 租金首年扣减免租期，之后按5%递增；不得忽略免租期或递增。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13. 折旧按5年直线计提，折旧基数为扣除押金与流动资金后的建店投资。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14. 回收期、NPV、IRR按统一口径计算；NPV折现率10%，期末收回押金与流动资金。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15. 每城首店必须直营；首批加盟门店不超过2家，加盟比例不超过30%。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16. 计划开业日按租约起租日加2个月计算，单季开业不超过3家。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17. 仓配方案按5年成本现值比较，三城分别选择成本最低方案。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18. 首批总投资包括5%预备费，总额不得超过1500万元。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19. 必须完成9组“销售±10%×租金±5%”敏感性测算，不得只做单一情景。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20. 必须列出10项风险和6类退出机制，每项风险须有量化触发阈值。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21. 24项勾稽全部闭合后方可出具核心结论；任一项不闭合视为未完成。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22. 必须按八轮顺序逐轮交付，每轮只完成一个任务，不得一次性输出全部结果。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23. 每轮结束必须提交本轮自检记录，列明检查项、结果、证据和未通过原因；上一轮未通过不得进入下一轮。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24. 每轮只提交当轮对应交付包，不得跨轮合并或提前输出；任何一轮无法完成时必须停止并说明缺口；八轮全部通过方视为完成。</w:t>
      </w:r>
    </w:p>
    <w:p>
      <w:pPr>
        <w:pStyle w:val="Heading1"/>
        <w:jc w:val="left"/>
      </w:pPr>
      <w:r>
        <w:rPr>
          <w:rFonts w:ascii="宋体" w:hAnsi="宋体" w:eastAsia="宋体"/>
        </w:rPr>
        <w:t>八、完成标准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八轮任务逐轮完成且逐轮自检通过。18个候选点位全部评分，首批8家门店按杭州3家、合肥3家、南昌2家选定；直营6家、加盟2家；总投资1330万元，不超过1500万元；首年收入4424.8万元、首年EBITDA 446.5万元；组合5年NPV 996.2万元、IRR 38.26%、回收期26.7个月；9组敏感性齐全；10项风险和6类退出机制完整；24项勾稽全部闭合、不一致项为0。任一轮未完成或自检不通过，不得进入下一轮，整体不得视为完成。</w:t>
      </w:r>
    </w:p>
    <w:p>
      <w:pPr>
        <w:pStyle w:val="Heading1"/>
        <w:jc w:val="left"/>
      </w:pPr>
      <w:r>
        <w:rPr>
          <w:rFonts w:ascii="宋体" w:hAnsi="宋体" w:eastAsia="宋体"/>
        </w:rPr>
        <w:t>九、考点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考点按数据治理、评分模型、销售预测、建店投资、单店P&amp;L、投资回收、直营加盟、开业节奏、仓配、投资总额、敏感性、风险退出和勾稽结论十三组展开，共50项。</w:t>
      </w:r>
    </w:p>
    <w:p>
      <w:pPr>
        <w:pStyle w:val="Heading2"/>
        <w:jc w:val="left"/>
      </w:pPr>
      <w:r>
        <w:rPr>
          <w:rFonts w:ascii="宋体" w:hAnsi="宋体" w:eastAsia="宋体"/>
        </w:rPr>
        <w:t>（一）数据治理与候选点位（考点1—5）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考点1：候选点位共18个，杭州、合肥、南昌各6个，点位编号唯一且不得跨城市重复计入。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考点2：面积、月租金、物业费、免租期、递增率、押金月数和可签年限必须按同一租约口径读取，不得混用含税与不含税口径。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考点3：可起租日用于排定计划开业日，计划开业日等于起租日加2个月，不得直接使用决策日或装修完成日。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考点4：餐饮条件为“否”的点位不得进入首批，HZ05和NC02因排烟或证照条件不符被剔除。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考点5：可签年限不足5年的点位不得进入首批，HF04因仅3年租约、HF05因仅4年租约被剔除。</w:t>
      </w:r>
    </w:p>
    <w:p>
      <w:pPr>
        <w:pStyle w:val="Heading2"/>
        <w:jc w:val="left"/>
      </w:pPr>
      <w:r>
        <w:rPr>
          <w:rFonts w:ascii="宋体" w:hAnsi="宋体" w:eastAsia="宋体"/>
        </w:rPr>
        <w:t>（二）评分模型（考点6—10）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考点6：评分权重为客流25%、竞品15%、外卖15%、租金效率15%、收入10%、可见性10%、物业10%，合计100分。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考点7：所有指标在18个候选点位之间做线性归一化，不得按城市内部分别归一化。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考点8：周边竞品数采用反向归一化，竞品越多得分越低，HZ03因15家竞品被显著扣分。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考点9：租金效率按年化稳定收入除以年租金计算，租金效率越高得分越高。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考点10：按城市内符合资格点位排序，杭州取前3、合肥取前3、南昌取前2，形成首批8家。</w:t>
      </w:r>
    </w:p>
    <w:p>
      <w:pPr>
        <w:pStyle w:val="Heading2"/>
        <w:jc w:val="left"/>
      </w:pPr>
      <w:r>
        <w:rPr>
          <w:rFonts w:ascii="宋体" w:hAnsi="宋体" w:eastAsia="宋体"/>
        </w:rPr>
        <w:t>（三）销售预测与外卖（考点11—15）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考点11：堂食收入等于堂食日均单量乘堂食客单价乘30天，不得与外卖单量合并。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考点12：外卖收入等于外卖日均单量乘外卖客单价乘30天，外卖客单价与堂食客单价分开。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考点13：首年按前3月60%、第4至6月80%、第7月起100%爬坡，等效10.2个满月。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考点14：稳定期第2年起按3%增长，不得在首年就按满月12个月计算。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考点15：外卖平台佣金只对外卖收入按18%计提，不得对堂食收入计提。</w:t>
      </w:r>
    </w:p>
    <w:p>
      <w:pPr>
        <w:pStyle w:val="Heading2"/>
        <w:jc w:val="left"/>
      </w:pPr>
      <w:r>
        <w:rPr>
          <w:rFonts w:ascii="宋体" w:hAnsi="宋体" w:eastAsia="宋体"/>
        </w:rPr>
        <w:t>（四）建店投资（考点16—20）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考点16：装修按3200元/㎡乘城市系数，杭州1.10、合肥1.00、南昌0.92。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考点17：厨房与冷藏设备按55万元乘城市系数，杭州1.08、合肥1.00、南昌0.95。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考点18：家具与陈列11万元、POS与信息系统5.5万元、首批物料7.5万元、证照与开业3.5万元。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考点19：设计与管理费按装修工程的5%计提，不得按总投资计提。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考点20：押金按3个月租金计入初始投资，流动资金23万元，两者期末可收回。</w:t>
      </w:r>
    </w:p>
    <w:p>
      <w:pPr>
        <w:pStyle w:val="Heading2"/>
        <w:jc w:val="left"/>
      </w:pPr>
      <w:r>
        <w:rPr>
          <w:rFonts w:ascii="宋体" w:hAnsi="宋体" w:eastAsia="宋体"/>
        </w:rPr>
        <w:t>（五）单店P&amp;L（考点21—25）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考点21：单店P&amp;L按营业收入减食材、人工、租金、水电、营销、外卖佣金、管理分摊和加盟授权费计算EBITDA。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考点22：食材成本率38%、人工23%、水电3%、营销5%、管理分摊6%，不得逐店调整。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考点23：租金含物业费，首年扣减免租期，第2年起按5%递增。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考点24：折旧按扣除押金与流动资金后的建店投资分5年直线计提，残值为0。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考点25：所得税按正税前利润的25%计提，亏损年度所得税为0。</w:t>
      </w:r>
    </w:p>
    <w:p>
      <w:pPr>
        <w:pStyle w:val="Heading2"/>
        <w:jc w:val="left"/>
      </w:pPr>
      <w:r>
        <w:rPr>
          <w:rFonts w:ascii="宋体" w:hAnsi="宋体" w:eastAsia="宋体"/>
        </w:rPr>
        <w:t>（六）回收期、NPV与IRR（考点26—30）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考点26：回收期按累计未折现现金流首次转正的月份计算，超过60个月按“&gt;60个月”列示。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考点27：NPV按10%折现，期末收回押金与流动资金，不得计入其他残值。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考点28：IRR按5年公司口径现金流计算，加盟店按加盟费、授权费、供应链毛利和督导成本计算。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考点29：直营店与加盟店必须分别计算公司口径现金流，不得用门店EBITDA直接替代公司现金流。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考点30：直接门店回收期超过42个月须专项审批，HZ02回收期41.0个月，未触发审批线。</w:t>
      </w:r>
    </w:p>
    <w:p>
      <w:pPr>
        <w:pStyle w:val="Heading2"/>
        <w:jc w:val="left"/>
      </w:pPr>
      <w:r>
        <w:rPr>
          <w:rFonts w:ascii="宋体" w:hAnsi="宋体" w:eastAsia="宋体"/>
        </w:rPr>
        <w:t>（七）直营与加盟（考点31—35）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考点31：直营模式由公司承担全部建店投资并取得全部营业收入。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考点32：加盟模式收取15万元加盟费、6%持续授权费、18%供应链毛利，承担3%督导培训成本和每店每年8万元固定督导费。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考点33：加盟模式公司初期支持投入10万元，加盟商承担85%建店投资。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考点34：直营与加盟比较必须使用公司口径NPV和回收期，不得只比较门店EBITDA。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考点35：首批直营6家、加盟2家，加盟比例25%，不超过30%上限，且每城首店均为直营。</w:t>
      </w:r>
    </w:p>
    <w:p>
      <w:pPr>
        <w:pStyle w:val="Heading2"/>
        <w:jc w:val="left"/>
      </w:pPr>
      <w:r>
        <w:rPr>
          <w:rFonts w:ascii="宋体" w:hAnsi="宋体" w:eastAsia="宋体"/>
        </w:rPr>
        <w:t>（八）首批清单与开业节奏（考点36—39）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考点36：首批8家为HZ01、HZ02、HZ04、HF01、HF02、HF03、NC01、NC03，城市分布3/3/2。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考点37：杭州3家全部直营，合肥HF01和HF02直营、HF03加盟，南昌NC01直营、NC03加盟。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考点38：计划开业日按租约起租日加2个月计算，形成2026年2月至8月的开业序列。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考点39：开业节奏为2026Q1 3家、Q2 3家、Q3 2家，单季不超过项目组3家产能。</w:t>
      </w:r>
    </w:p>
    <w:p>
      <w:pPr>
        <w:pStyle w:val="Heading2"/>
        <w:jc w:val="left"/>
      </w:pPr>
      <w:r>
        <w:rPr>
          <w:rFonts w:ascii="宋体" w:hAnsi="宋体" w:eastAsia="宋体"/>
        </w:rPr>
        <w:t>（九）区域仓配（考点40—42）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考点40：每城比较自建城市仓、第三方仓配、区域中心仓三种方案，按5年成本现值选择最低方案。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考点41：杭州和合肥选择自建城市仓，南昌选择第三方仓配，兼顾时效与成本。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考点42：仓配资本支出合计140万元，未重复计入门店建店投资。</w:t>
      </w:r>
    </w:p>
    <w:p>
      <w:pPr>
        <w:pStyle w:val="Heading2"/>
        <w:jc w:val="left"/>
      </w:pPr>
      <w:r>
        <w:rPr>
          <w:rFonts w:ascii="宋体" w:hAnsi="宋体" w:eastAsia="宋体"/>
        </w:rPr>
        <w:t>（十）投资总额（考点43—45）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考点43：首批总投资等于直营建店投资、加盟支持投入、仓配资本支出和5%预备费之和。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考点44：首批总投资1330万元，低于1500万元预算上限。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考点45：预算余量170万元，可用于开业期营销或应急支出。</w:t>
      </w:r>
    </w:p>
    <w:p>
      <w:pPr>
        <w:pStyle w:val="Heading2"/>
        <w:jc w:val="left"/>
      </w:pPr>
      <w:r>
        <w:rPr>
          <w:rFonts w:ascii="宋体" w:hAnsi="宋体" w:eastAsia="宋体"/>
        </w:rPr>
        <w:t>（十一）敏感性与回报（考点46—47）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考点46：完成销售变动±10%与租金变动±5%的9组组合测算，逐店重算后汇总，不得只对总额乘系数。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考点47：9组情景组合NPV区间为651.3万元至1341.2万元，基准情景IRR为38.26%。</w:t>
      </w:r>
    </w:p>
    <w:p>
      <w:pPr>
        <w:pStyle w:val="Heading2"/>
        <w:jc w:val="left"/>
      </w:pPr>
      <w:r>
        <w:rPr>
          <w:rFonts w:ascii="宋体" w:hAnsi="宋体" w:eastAsia="宋体"/>
        </w:rPr>
        <w:t>（十二）风险与退出（考点48—49）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考点48：列出销售未达预测、租金上涨、竞品进入、外卖佣金上调、证照食安、加盟商违约、仓配不足、开业延期、投资超预算、商圈客流下滑共10项风险。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考点49：销售连续2季低于基准15%，或租金占收入连续2季超过15%，触发关店、转址或解约评估。</w:t>
      </w:r>
    </w:p>
    <w:p>
      <w:pPr>
        <w:pStyle w:val="Heading2"/>
        <w:jc w:val="left"/>
      </w:pPr>
      <w:r>
        <w:rPr>
          <w:rFonts w:ascii="宋体" w:hAnsi="宋体" w:eastAsia="宋体"/>
        </w:rPr>
        <w:t>（十三）勾稽与核心结论（考点50）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考点50：完成24项勾稽，覆盖点位数、城市分布、直营加盟、投资、收入、EBITDA、NPV、IRR、敏感性和预算，全部闭合后方可出具一句话核心结论。</w:t>
      </w:r>
    </w:p>
    <w:p>
      <w:pPr>
        <w:pStyle w:val="Heading1"/>
        <w:jc w:val="left"/>
      </w:pPr>
      <w:r>
        <w:rPr>
          <w:rFonts w:ascii="宋体" w:hAnsi="宋体" w:eastAsia="宋体"/>
        </w:rPr>
        <w:t>十、答题思路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第一步是读取城市、候选点位、租约和销售预测，锁定18个候选点位及三城各6个的分布，先不做计算。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第二步是资格筛查，剔除餐饮条件不符和租期不足5年的点位，保留评分和不符合说明。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第三步是按七因子评分，所有指标在18个点位间做线性归一化，竞品数反向处理，得到总分和城市内排序。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第四步是按每城3/3/2取前序点位，形成首批8家，并校验预算和首店直营约束。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第五步是预测销售，拆分堂食与外卖，按爬坡系数计算首年收入，按3%计算稳定期增长。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第六步是测算建店投资，逐项计算装修、设备、家具、POS、物料、证照、设计、押金和流动资金。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第七步是编制五年P&amp;L，计算EBITDA、折旧、所得税、税后现金流、回收期、NPV和IRR。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第八步是做直营与加盟对比，按公司口径分别计算NPV和回收期，确定6家直营、2家加盟。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第九步是完成仓配比选、投资总额、9组敏感性、10项风险、退出机制和24项勾稽，最后给出一句话核心结论。</w:t>
      </w:r>
    </w:p>
    <w:p>
      <w:pPr>
        <w:pStyle w:val="Heading1"/>
        <w:jc w:val="left"/>
      </w:pPr>
      <w:r>
        <w:rPr>
          <w:rFonts w:ascii="宋体" w:hAnsi="宋体" w:eastAsia="宋体"/>
        </w:rPr>
        <w:t>十一、标准答案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标准答案共8个包，首表为投资决策结论，逐包覆盖点位评分、单店P&amp;L、直营加盟、开业节奏、仓配投资、敏感性、风险退出和勾稽自检。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/>
          <w:sz w:val="21"/>
        </w:rPr>
        <w:t>建议首批进入杭州、合肥、南昌8家店，直营6家、加盟2家；公司总投资1330.0万元，组合5年NPV 996.2万元、IRR 38.26%、回收期26.7个月；杭州自建城市仓、合肥自建城市仓、南昌第三方仓配；按2026年Q1 3家、Q2 3家、Q3 2家开业。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首批8店首年收入4424.8万元、首年EBITDA 446.5万元、5年累计EBITDA 2469.4万元。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直营6家、加盟2家，加盟比例25%，低于30%上限；公司直营投资1107.6万元、加盟支持20.0万元。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杭州自建城市仓、合肥自建城市仓、南昌第三方仓配；仓配资本支出140.0万元，首批总投资1330.0万元，低于1500万元预算。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9组敏感性下组合NPV区间651.3万元至1341.2万元，基准情景IRR 38.26%。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关键结果：首批8店首年收入4424.8万元、首年EBITDA 446.5万元、5年累计EBITDA 2469.4万元；组合5年NPV 996.2万元、IRR 38.26%、回收期26.7个月；9组敏感性组合NPV区间651.3万元至1341.2万元；24项勾稽全部闭合，不一致项为0。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麦淳餐饮管理有限公司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投资委员会</dc:creator>
  <cp:lastModifiedBy>投资委员会</cp:lastModifiedBy>
  <dcterms:created xsi:type="dcterms:W3CDTF">2025-10-18T02:00:00Z</dcterms:created>
  <dcterms:modified xsi:type="dcterms:W3CDTF">2025-10-20T01:00:00Z</dcterms:modified>
</cp:coreProperties>
</file>